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DD92" w14:textId="77777777" w:rsidR="00D240CF" w:rsidRDefault="00D240CF" w:rsidP="00D240CF">
      <w:pPr>
        <w:pStyle w:val="Ttulo"/>
        <w:widowControl w:val="0"/>
        <w:autoSpaceDE w:val="0"/>
        <w:autoSpaceDN w:val="0"/>
        <w:spacing w:before="93" w:after="0"/>
        <w:ind w:left="2634" w:right="2634"/>
        <w:contextualSpacing w:val="0"/>
        <w:jc w:val="center"/>
        <w:rPr>
          <w:rFonts w:ascii="Arial" w:eastAsia="Arial" w:hAnsi="Arial" w:cs="Arial"/>
          <w:b/>
          <w:bCs/>
          <w:spacing w:val="0"/>
          <w:kern w:val="0"/>
          <w:sz w:val="22"/>
          <w:szCs w:val="22"/>
          <w:lang w:val="es-ES"/>
        </w:rPr>
      </w:pPr>
    </w:p>
    <w:p w14:paraId="16EC1C3C" w14:textId="77777777" w:rsidR="00D240CF" w:rsidRPr="000309AC" w:rsidRDefault="00D240CF" w:rsidP="00D240CF">
      <w:pPr>
        <w:pStyle w:val="Ttulo"/>
        <w:widowControl w:val="0"/>
        <w:autoSpaceDE w:val="0"/>
        <w:autoSpaceDN w:val="0"/>
        <w:spacing w:before="93" w:after="0"/>
        <w:ind w:left="2634" w:right="2634"/>
        <w:contextualSpacing w:val="0"/>
        <w:jc w:val="center"/>
        <w:rPr>
          <w:rFonts w:ascii="Arial" w:eastAsia="Arial" w:hAnsi="Arial" w:cs="Arial"/>
          <w:b/>
          <w:bCs/>
          <w:spacing w:val="0"/>
          <w:kern w:val="0"/>
          <w:sz w:val="22"/>
          <w:szCs w:val="22"/>
          <w:lang w:val="es-ES"/>
        </w:rPr>
      </w:pPr>
      <w:r w:rsidRPr="000309AC">
        <w:rPr>
          <w:rFonts w:ascii="Arial" w:eastAsia="Arial" w:hAnsi="Arial" w:cs="Arial"/>
          <w:b/>
          <w:bCs/>
          <w:spacing w:val="0"/>
          <w:kern w:val="0"/>
          <w:sz w:val="22"/>
          <w:szCs w:val="22"/>
          <w:lang w:val="es-ES"/>
        </w:rPr>
        <w:t>CONSULTA PÚBLICA PREVIA</w:t>
      </w:r>
    </w:p>
    <w:p w14:paraId="72CE42C2" w14:textId="77777777" w:rsidR="00861D36" w:rsidRPr="00861D36" w:rsidRDefault="00861D36" w:rsidP="00861D36">
      <w:pPr>
        <w:widowControl w:val="0"/>
        <w:autoSpaceDE w:val="0"/>
        <w:autoSpaceDN w:val="0"/>
        <w:spacing w:before="4"/>
        <w:jc w:val="both"/>
        <w:rPr>
          <w:rFonts w:ascii="Arial" w:eastAsia="Arial" w:hAnsi="Arial" w:cs="Arial"/>
          <w:b/>
          <w:bCs/>
          <w:spacing w:val="-2"/>
          <w:sz w:val="24"/>
          <w:szCs w:val="24"/>
          <w:lang w:val="es-ES"/>
        </w:rPr>
      </w:pPr>
    </w:p>
    <w:p w14:paraId="6DE40230" w14:textId="77777777" w:rsidR="00861D36" w:rsidRPr="00861D36" w:rsidRDefault="00861D36" w:rsidP="00861D36">
      <w:pPr>
        <w:widowControl w:val="0"/>
        <w:autoSpaceDE w:val="0"/>
        <w:autoSpaceDN w:val="0"/>
        <w:spacing w:before="4"/>
        <w:jc w:val="both"/>
        <w:rPr>
          <w:rFonts w:ascii="Arial" w:eastAsia="Arial" w:hAnsi="Arial" w:cs="Arial"/>
          <w:b/>
          <w:sz w:val="24"/>
          <w:szCs w:val="24"/>
          <w:lang w:val="es-ES"/>
        </w:rPr>
      </w:pPr>
      <w:r w:rsidRPr="00861D36">
        <w:rPr>
          <w:rFonts w:ascii="Arial" w:eastAsia="Arial" w:hAnsi="Arial" w:cs="Arial"/>
          <w:b/>
          <w:sz w:val="24"/>
          <w:szCs w:val="24"/>
          <w:lang w:val="es-ES"/>
        </w:rPr>
        <w:t xml:space="preserve">Trasposición del marco europeo de gestión de crisis bancarias y de seguros de depósitos. </w:t>
      </w:r>
    </w:p>
    <w:p w14:paraId="1A25E90C" w14:textId="77777777" w:rsidR="00D240CF" w:rsidRPr="006475D8" w:rsidRDefault="00D240CF" w:rsidP="00D240CF">
      <w:pPr>
        <w:spacing w:before="158"/>
        <w:ind w:left="284"/>
        <w:rPr>
          <w:rFonts w:ascii="Arial" w:hAnsi="Arial" w:cs="Arial"/>
          <w:b/>
          <w:lang w:val="es-ES"/>
        </w:rPr>
      </w:pPr>
      <w:r w:rsidRPr="006475D8">
        <w:rPr>
          <w:rFonts w:ascii="Arial" w:hAnsi="Arial" w:cs="Arial"/>
          <w:b/>
          <w:lang w:val="es-ES"/>
        </w:rPr>
        <w:t>Dirección</w:t>
      </w:r>
      <w:r w:rsidRPr="006475D8">
        <w:rPr>
          <w:rFonts w:ascii="Arial" w:hAnsi="Arial" w:cs="Arial"/>
          <w:b/>
          <w:spacing w:val="-9"/>
          <w:lang w:val="es-ES"/>
        </w:rPr>
        <w:t xml:space="preserve"> </w:t>
      </w:r>
      <w:r w:rsidRPr="006475D8">
        <w:rPr>
          <w:rFonts w:ascii="Arial" w:hAnsi="Arial" w:cs="Arial"/>
          <w:b/>
          <w:lang w:val="es-ES"/>
        </w:rPr>
        <w:t>de</w:t>
      </w:r>
      <w:r w:rsidRPr="006475D8">
        <w:rPr>
          <w:rFonts w:ascii="Arial" w:hAnsi="Arial" w:cs="Arial"/>
          <w:b/>
          <w:spacing w:val="-4"/>
          <w:lang w:val="es-ES"/>
        </w:rPr>
        <w:t xml:space="preserve"> </w:t>
      </w:r>
      <w:r w:rsidRPr="006475D8">
        <w:rPr>
          <w:rFonts w:ascii="Arial" w:hAnsi="Arial" w:cs="Arial"/>
          <w:b/>
          <w:lang w:val="es-ES"/>
        </w:rPr>
        <w:t>correo</w:t>
      </w:r>
      <w:r w:rsidRPr="006475D8">
        <w:rPr>
          <w:rFonts w:ascii="Arial" w:hAnsi="Arial" w:cs="Arial"/>
          <w:b/>
          <w:spacing w:val="-8"/>
          <w:lang w:val="es-ES"/>
        </w:rPr>
        <w:t xml:space="preserve"> </w:t>
      </w:r>
      <w:r w:rsidRPr="006475D8">
        <w:rPr>
          <w:rFonts w:ascii="Arial" w:hAnsi="Arial" w:cs="Arial"/>
          <w:b/>
          <w:lang w:val="es-ES"/>
        </w:rPr>
        <w:t>donde</w:t>
      </w:r>
      <w:r w:rsidRPr="006475D8">
        <w:rPr>
          <w:rFonts w:ascii="Arial" w:hAnsi="Arial" w:cs="Arial"/>
          <w:b/>
          <w:spacing w:val="-4"/>
          <w:lang w:val="es-ES"/>
        </w:rPr>
        <w:t xml:space="preserve"> </w:t>
      </w:r>
      <w:r w:rsidRPr="006475D8">
        <w:rPr>
          <w:rFonts w:ascii="Arial" w:hAnsi="Arial" w:cs="Arial"/>
          <w:b/>
          <w:lang w:val="es-ES"/>
        </w:rPr>
        <w:t>dirigir</w:t>
      </w:r>
      <w:r w:rsidRPr="006475D8">
        <w:rPr>
          <w:rFonts w:ascii="Arial" w:hAnsi="Arial" w:cs="Arial"/>
          <w:b/>
          <w:spacing w:val="-6"/>
          <w:lang w:val="es-ES"/>
        </w:rPr>
        <w:t xml:space="preserve"> </w:t>
      </w:r>
      <w:r w:rsidRPr="006475D8">
        <w:rPr>
          <w:rFonts w:ascii="Arial" w:hAnsi="Arial" w:cs="Arial"/>
          <w:b/>
          <w:lang w:val="es-ES"/>
        </w:rPr>
        <w:t>las</w:t>
      </w:r>
      <w:r w:rsidRPr="006475D8">
        <w:rPr>
          <w:rFonts w:ascii="Arial" w:hAnsi="Arial" w:cs="Arial"/>
          <w:b/>
          <w:spacing w:val="-4"/>
          <w:lang w:val="es-ES"/>
        </w:rPr>
        <w:t xml:space="preserve"> </w:t>
      </w:r>
      <w:r w:rsidRPr="006475D8">
        <w:rPr>
          <w:rFonts w:ascii="Arial" w:hAnsi="Arial" w:cs="Arial"/>
          <w:b/>
          <w:spacing w:val="-2"/>
          <w:lang w:val="es-ES"/>
        </w:rPr>
        <w:t xml:space="preserve">observaciones: </w:t>
      </w:r>
      <w:hyperlink r:id="rId11" w:history="1">
        <w:r w:rsidRPr="006475D8">
          <w:rPr>
            <w:rStyle w:val="Hipervnculo"/>
            <w:rFonts w:ascii="Arial" w:hAnsi="Arial" w:cs="Arial"/>
            <w:spacing w:val="-2"/>
            <w:lang w:val="es-ES"/>
          </w:rPr>
          <w:t>audiencia@economia.gob.es</w:t>
        </w:r>
      </w:hyperlink>
    </w:p>
    <w:p w14:paraId="3B6A2B0E" w14:textId="77777777" w:rsidR="00D240CF" w:rsidRPr="006475D8" w:rsidRDefault="00D240CF" w:rsidP="00D240CF">
      <w:pPr>
        <w:pBdr>
          <w:top w:val="single" w:sz="4" w:space="1" w:color="auto"/>
          <w:left w:val="single" w:sz="4" w:space="4" w:color="auto"/>
          <w:bottom w:val="single" w:sz="4" w:space="1" w:color="auto"/>
          <w:right w:val="single" w:sz="4" w:space="4" w:color="auto"/>
        </w:pBdr>
        <w:spacing w:before="158"/>
        <w:ind w:left="426" w:right="425"/>
        <w:jc w:val="both"/>
        <w:rPr>
          <w:rFonts w:ascii="Arial" w:hAnsi="Arial" w:cs="Arial"/>
          <w:b/>
          <w:lang w:val="es-ES"/>
        </w:rPr>
      </w:pPr>
      <w:r w:rsidRPr="006475D8">
        <w:rPr>
          <w:rFonts w:ascii="Arial" w:hAnsi="Arial" w:cs="Arial"/>
          <w:b/>
          <w:lang w:val="es-ES"/>
        </w:rPr>
        <w:t>Pueden incluir sus observaciones cumplimentándolas en el propio documento.</w:t>
      </w:r>
    </w:p>
    <w:p w14:paraId="73028CAD" w14:textId="68DD2664" w:rsidR="00D240CF" w:rsidRPr="006475D8" w:rsidRDefault="00D240CF" w:rsidP="00D240CF">
      <w:pPr>
        <w:pBdr>
          <w:top w:val="single" w:sz="4" w:space="1" w:color="auto"/>
          <w:left w:val="single" w:sz="4" w:space="4" w:color="auto"/>
          <w:bottom w:val="single" w:sz="4" w:space="1" w:color="auto"/>
          <w:right w:val="single" w:sz="4" w:space="4" w:color="auto"/>
        </w:pBdr>
        <w:spacing w:before="158"/>
        <w:ind w:left="426" w:right="425"/>
        <w:rPr>
          <w:rFonts w:ascii="Arial" w:hAnsi="Arial" w:cs="Arial"/>
          <w:b/>
          <w:lang w:val="es-ES"/>
        </w:rPr>
      </w:pPr>
      <w:r w:rsidRPr="006475D8">
        <w:rPr>
          <w:rFonts w:ascii="Arial" w:hAnsi="Arial" w:cs="Arial"/>
          <w:b/>
          <w:lang w:val="es-ES"/>
        </w:rPr>
        <w:t xml:space="preserve">Nombre y Apellidos o razón social: </w:t>
      </w:r>
      <w:sdt>
        <w:sdtPr>
          <w:rPr>
            <w:rStyle w:val="Estilo3"/>
          </w:rPr>
          <w:tag w:val="Text1"/>
          <w:id w:val="-1713560573"/>
          <w:placeholder>
            <w:docPart w:val="0E3BD2E581C4423FBE11284A370D25EC"/>
          </w:placeholder>
          <w15:appearance w15:val="hidden"/>
        </w:sdtPr>
        <w:sdtEndPr>
          <w:rPr>
            <w:rStyle w:val="Fuentedeprrafopredeter"/>
            <w:rFonts w:ascii="Calibri" w:hAnsi="Calibri" w:cs="Arial"/>
            <w:b/>
            <w:color w:val="auto"/>
            <w:lang w:val="es-ES"/>
          </w:rPr>
        </w:sdtEndPr>
        <w:sdtContent>
          <w:r w:rsidRPr="00AB02B1">
            <w:rPr>
              <w:rStyle w:val="Estilo3"/>
              <w:lang w:val="es-ES"/>
            </w:rPr>
            <w:t xml:space="preserve"> </w:t>
          </w:r>
        </w:sdtContent>
      </w:sdt>
      <w:sdt>
        <w:sdtPr>
          <w:rPr>
            <w:rFonts w:cs="Arial"/>
            <w:b/>
            <w:lang w:val="es-ES"/>
          </w:rPr>
          <w:id w:val="1692803039"/>
          <w:placeholder>
            <w:docPart w:val="DefaultPlaceholder_-1854013440"/>
          </w:placeholder>
          <w:showingPlcHdr/>
        </w:sdtPr>
        <w:sdtContent>
          <w:r w:rsidR="00727E1B" w:rsidRPr="005859DE">
            <w:rPr>
              <w:rStyle w:val="Textodelmarcadordeposicin"/>
              <w:lang w:val="es-ES"/>
            </w:rPr>
            <w:t>Haga clic o pulse aquí para escribir texto.</w:t>
          </w:r>
        </w:sdtContent>
      </w:sdt>
    </w:p>
    <w:p w14:paraId="43DBCBD3" w14:textId="77777777" w:rsidR="00D240CF" w:rsidRPr="006475D8" w:rsidRDefault="00D240CF" w:rsidP="00D240CF">
      <w:pPr>
        <w:pBdr>
          <w:top w:val="single" w:sz="4" w:space="1" w:color="auto"/>
          <w:left w:val="single" w:sz="4" w:space="4" w:color="auto"/>
          <w:bottom w:val="single" w:sz="4" w:space="1" w:color="auto"/>
          <w:right w:val="single" w:sz="4" w:space="4" w:color="auto"/>
        </w:pBdr>
        <w:spacing w:before="158"/>
        <w:ind w:left="426" w:right="425"/>
        <w:rPr>
          <w:rFonts w:ascii="Arial" w:hAnsi="Arial" w:cs="Arial"/>
          <w:b/>
          <w:lang w:val="es-ES"/>
        </w:rPr>
      </w:pPr>
      <w:r w:rsidRPr="006475D8">
        <w:rPr>
          <w:rFonts w:ascii="Arial" w:hAnsi="Arial" w:cs="Arial"/>
          <w:b/>
          <w:lang w:val="es-ES"/>
        </w:rPr>
        <w:t>Organización:</w:t>
      </w:r>
      <w:r w:rsidRPr="00FC3B4C">
        <w:rPr>
          <w:rStyle w:val="Estilo3"/>
          <w:lang w:val="es-ES"/>
        </w:rPr>
        <w:t xml:space="preserve"> </w:t>
      </w:r>
      <w:sdt>
        <w:sdtPr>
          <w:rPr>
            <w:rStyle w:val="Estilo3"/>
            <w:lang w:val="es-ES"/>
          </w:rPr>
          <w:tag w:val="Text2"/>
          <w:id w:val="-1377772300"/>
          <w:placeholder>
            <w:docPart w:val="EE85FF43509242809F9741EAC8E5096C"/>
          </w:placeholder>
          <w:showingPlcHdr/>
          <w:dropDownList>
            <w:listItem w:value="Elija un elemento."/>
            <w:listItem w:displayText="Asociación de entidades financieras" w:value="Asociación de entidades financieras"/>
            <w:listItem w:displayText="Organización de Defensa de los Consumidores" w:value="Organización de Defensa de los Consumidores"/>
            <w:listItem w:displayText="Entidad financiera" w:value="Entidad financiera"/>
            <w:listItem w:displayText="Comunidad Autónoma" w:value="Comunidad Autónoma"/>
            <w:listItem w:displayText="Autoridad Supervisora" w:value="Autoridad Supervisora"/>
            <w:listItem w:displayText="Otros organismos públicos" w:value="Otros organismos públicos"/>
            <w:listItem w:displayText="Otros organismos privados" w:value="Otros organismos privados"/>
            <w:listItem w:displayText="Particular" w:value="Particular"/>
          </w:dropDownList>
        </w:sdtPr>
        <w:sdtEndPr>
          <w:rPr>
            <w:rStyle w:val="Fuentedeprrafopredeter"/>
            <w:rFonts w:ascii="Calibri" w:hAnsi="Calibri" w:cs="Arial"/>
            <w:b/>
            <w:color w:val="auto"/>
          </w:rPr>
        </w:sdtEndPr>
        <w:sdtContent>
          <w:r w:rsidRPr="006475D8">
            <w:rPr>
              <w:rStyle w:val="Textodelmarcadordeposicin"/>
              <w:rFonts w:ascii="Arial" w:hAnsi="Arial" w:cs="Arial"/>
              <w:lang w:val="es-ES"/>
            </w:rPr>
            <w:t>Elija un elemento.</w:t>
          </w:r>
        </w:sdtContent>
      </w:sdt>
      <w:r w:rsidRPr="008C728A">
        <w:rPr>
          <w:rStyle w:val="Estilo3"/>
          <w:lang w:val="es-ES"/>
        </w:rPr>
        <w:t xml:space="preserve"> </w:t>
      </w:r>
    </w:p>
    <w:p w14:paraId="3A6657BB" w14:textId="08BCF2CE" w:rsidR="009B3F10" w:rsidRPr="00727E1B" w:rsidRDefault="00D240CF" w:rsidP="00F0143B">
      <w:pPr>
        <w:spacing w:before="240"/>
        <w:jc w:val="both"/>
        <w:rPr>
          <w:rFonts w:ascii="Arial" w:hAnsi="Arial" w:cs="Arial"/>
          <w:lang w:val="es-ES"/>
        </w:rPr>
      </w:pPr>
      <w:r w:rsidRPr="00AB02B1">
        <w:rPr>
          <w:rFonts w:ascii="Arial" w:hAnsi="Arial" w:cs="Arial"/>
          <w:lang w:val="es-ES"/>
        </w:rPr>
        <w:t xml:space="preserve">La presente consulta tiene como objetivo recabar la opinión de las personas y entidades potencialmente afectadas por la transposición al ordenamiento español de la reforma del marco europeo de gestión de crisis bancarias y de seguros de depósitos y, particularmente, de las opciones nacionales que ha proporcionado el legislador europeo a los Estados Miembros. La reforma del marco de gestión de crisis bancarias afecta a la Directiva 2014/59 del Parlamento y el Consejo de 15 de mayo de 2014 por la que se establece un marco para la recuperación y la resolución de entidades de crédito y empresas de servicios de inversión, a la Directiva 2014/49 del Parlamento y el Consejo de 16 de abril de 2014, relativa a los sistemas de garantía de depósitos y al Reglamento (UE) 806/2014 en lo que respecta a las medidas de actuación temprana, las condiciones de resolución y la financiación de las medidas de resolución. </w:t>
      </w:r>
    </w:p>
    <w:p w14:paraId="4A06CDF7" w14:textId="77777777" w:rsidR="00D240CF" w:rsidRPr="00AB02B1" w:rsidRDefault="00D240CF" w:rsidP="00D73597">
      <w:pPr>
        <w:spacing w:before="240"/>
        <w:jc w:val="both"/>
        <w:rPr>
          <w:rFonts w:ascii="Arial" w:hAnsi="Arial" w:cs="Arial"/>
          <w:lang w:val="es-ES"/>
        </w:rPr>
      </w:pPr>
      <w:r w:rsidRPr="00AB02B1">
        <w:rPr>
          <w:rFonts w:ascii="Arial" w:hAnsi="Arial" w:cs="Arial"/>
          <w:lang w:val="es-ES"/>
        </w:rPr>
        <w:t xml:space="preserve">El desarrollo normativo se estructurará, eminentemente, a través de un anteproyecto de ley modificativa de la Ley 11/2015, de 18 de junio, de recuperación y resolución de entidades de crédito y empresas de servicios de inversión, y del Real Decreto-ley 16/2011 de 14 de octubre, por el que se crea el Fondo de Garantía de Depósitos de Entidades de Crédito. Asimismo, deberá modificarse el desarrollo reglamentario de ambas disposiciones legales. </w:t>
      </w:r>
    </w:p>
    <w:p w14:paraId="582F1814" w14:textId="77777777" w:rsidR="009B3F10" w:rsidRPr="00727E1B" w:rsidRDefault="009B3F10" w:rsidP="00D240CF">
      <w:pPr>
        <w:jc w:val="both"/>
        <w:rPr>
          <w:rFonts w:ascii="Arial" w:hAnsi="Arial" w:cs="Arial"/>
          <w:lang w:val="es-ES"/>
        </w:rPr>
      </w:pPr>
    </w:p>
    <w:p w14:paraId="02184D95" w14:textId="77777777" w:rsidR="00D240CF" w:rsidRPr="00AB02B1" w:rsidRDefault="00D240CF" w:rsidP="00D240CF">
      <w:pPr>
        <w:jc w:val="both"/>
        <w:rPr>
          <w:rFonts w:ascii="Arial" w:hAnsi="Arial" w:cs="Arial"/>
          <w:lang w:val="es-ES"/>
        </w:rPr>
      </w:pPr>
      <w:r w:rsidRPr="00AB02B1">
        <w:rPr>
          <w:rFonts w:ascii="Arial" w:hAnsi="Arial" w:cs="Arial"/>
          <w:lang w:val="es-ES"/>
        </w:rPr>
        <w:t>De conformidad con lo previsto en el artículo 26.2 de la Ley 50/1997, de 27 de noviembre, del Gobierno, y en el artículo 133 de la Ley 39/2015, de 1 de octubre, del Procedimiento Administrativo Común de las Administraciones Públicas, la presente consulta tiene como objetivo recabar, directamente o a través de organizaciones representativas, la opinión de las personas y entidades potencialmente afectadas sobre los siguientes aspectos de la futura norma señalada:</w:t>
      </w:r>
    </w:p>
    <w:p w14:paraId="7965003A" w14:textId="77777777" w:rsidR="00D240CF" w:rsidRPr="00AB02B1" w:rsidRDefault="00D240CF" w:rsidP="00D240CF">
      <w:pPr>
        <w:widowControl w:val="0"/>
        <w:autoSpaceDE w:val="0"/>
        <w:autoSpaceDN w:val="0"/>
        <w:spacing w:before="1"/>
        <w:jc w:val="both"/>
        <w:rPr>
          <w:rFonts w:ascii="Arial" w:eastAsia="Arial" w:hAnsi="Arial" w:cs="Arial"/>
          <w:lang w:val="es-ES"/>
        </w:rPr>
      </w:pPr>
    </w:p>
    <w:p w14:paraId="32C6ACA1" w14:textId="77777777" w:rsidR="00D240CF" w:rsidRPr="00AB02B1" w:rsidRDefault="00D240CF" w:rsidP="00D240CF">
      <w:pPr>
        <w:widowControl w:val="0"/>
        <w:numPr>
          <w:ilvl w:val="0"/>
          <w:numId w:val="1"/>
        </w:numPr>
        <w:tabs>
          <w:tab w:val="left" w:pos="1634"/>
        </w:tabs>
        <w:autoSpaceDE w:val="0"/>
        <w:autoSpaceDN w:val="0"/>
        <w:ind w:hanging="359"/>
        <w:jc w:val="both"/>
        <w:rPr>
          <w:rFonts w:ascii="Arial" w:eastAsia="Arial" w:hAnsi="Arial" w:cs="Arial"/>
          <w:lang w:val="es-ES"/>
        </w:rPr>
      </w:pPr>
      <w:r w:rsidRPr="00AB02B1">
        <w:rPr>
          <w:rFonts w:ascii="Arial" w:eastAsia="Arial" w:hAnsi="Arial" w:cs="Arial"/>
          <w:lang w:val="es-ES"/>
        </w:rPr>
        <w:t>Los</w:t>
      </w:r>
      <w:r w:rsidRPr="00AB02B1">
        <w:rPr>
          <w:rFonts w:ascii="Arial" w:eastAsia="Arial" w:hAnsi="Arial" w:cs="Arial"/>
          <w:spacing w:val="-8"/>
          <w:lang w:val="es-ES"/>
        </w:rPr>
        <w:t xml:space="preserve"> </w:t>
      </w:r>
      <w:r w:rsidRPr="00AB02B1">
        <w:rPr>
          <w:rFonts w:ascii="Arial" w:eastAsia="Arial" w:hAnsi="Arial" w:cs="Arial"/>
          <w:lang w:val="es-ES"/>
        </w:rPr>
        <w:t>problemas</w:t>
      </w:r>
      <w:r w:rsidRPr="00AB02B1">
        <w:rPr>
          <w:rFonts w:ascii="Arial" w:eastAsia="Arial" w:hAnsi="Arial" w:cs="Arial"/>
          <w:spacing w:val="-13"/>
          <w:lang w:val="es-ES"/>
        </w:rPr>
        <w:t xml:space="preserve"> </w:t>
      </w:r>
      <w:r w:rsidRPr="00AB02B1">
        <w:rPr>
          <w:rFonts w:ascii="Arial" w:eastAsia="Arial" w:hAnsi="Arial" w:cs="Arial"/>
          <w:lang w:val="es-ES"/>
        </w:rPr>
        <w:t>que</w:t>
      </w:r>
      <w:r w:rsidRPr="00AB02B1">
        <w:rPr>
          <w:rFonts w:ascii="Arial" w:eastAsia="Arial" w:hAnsi="Arial" w:cs="Arial"/>
          <w:spacing w:val="-11"/>
          <w:lang w:val="es-ES"/>
        </w:rPr>
        <w:t xml:space="preserve"> </w:t>
      </w:r>
      <w:r w:rsidRPr="00AB02B1">
        <w:rPr>
          <w:rFonts w:ascii="Arial" w:eastAsia="Arial" w:hAnsi="Arial" w:cs="Arial"/>
          <w:lang w:val="es-ES"/>
        </w:rPr>
        <w:t>se</w:t>
      </w:r>
      <w:r w:rsidRPr="00AB02B1">
        <w:rPr>
          <w:rFonts w:ascii="Arial" w:eastAsia="Arial" w:hAnsi="Arial" w:cs="Arial"/>
          <w:spacing w:val="-11"/>
          <w:lang w:val="es-ES"/>
        </w:rPr>
        <w:t xml:space="preserve"> </w:t>
      </w:r>
      <w:r w:rsidRPr="00AB02B1">
        <w:rPr>
          <w:rFonts w:ascii="Arial" w:eastAsia="Arial" w:hAnsi="Arial" w:cs="Arial"/>
          <w:lang w:val="es-ES"/>
        </w:rPr>
        <w:t>pretenden</w:t>
      </w:r>
      <w:r w:rsidRPr="00AB02B1">
        <w:rPr>
          <w:rFonts w:ascii="Arial" w:eastAsia="Arial" w:hAnsi="Arial" w:cs="Arial"/>
          <w:spacing w:val="-8"/>
          <w:lang w:val="es-ES"/>
        </w:rPr>
        <w:t xml:space="preserve"> </w:t>
      </w:r>
      <w:r w:rsidRPr="00AB02B1">
        <w:rPr>
          <w:rFonts w:ascii="Arial" w:eastAsia="Arial" w:hAnsi="Arial" w:cs="Arial"/>
          <w:lang w:val="es-ES"/>
        </w:rPr>
        <w:t>solucionar</w:t>
      </w:r>
      <w:r w:rsidRPr="00AB02B1">
        <w:rPr>
          <w:rFonts w:ascii="Arial" w:eastAsia="Arial" w:hAnsi="Arial" w:cs="Arial"/>
          <w:spacing w:val="-9"/>
          <w:lang w:val="es-ES"/>
        </w:rPr>
        <w:t xml:space="preserve"> </w:t>
      </w:r>
      <w:r w:rsidRPr="00AB02B1">
        <w:rPr>
          <w:rFonts w:ascii="Arial" w:eastAsia="Arial" w:hAnsi="Arial" w:cs="Arial"/>
          <w:lang w:val="es-ES"/>
        </w:rPr>
        <w:t>con</w:t>
      </w:r>
      <w:r w:rsidRPr="00AB02B1">
        <w:rPr>
          <w:rFonts w:ascii="Arial" w:eastAsia="Arial" w:hAnsi="Arial" w:cs="Arial"/>
          <w:spacing w:val="-11"/>
          <w:lang w:val="es-ES"/>
        </w:rPr>
        <w:t xml:space="preserve"> </w:t>
      </w:r>
      <w:r w:rsidRPr="00AB02B1">
        <w:rPr>
          <w:rFonts w:ascii="Arial" w:eastAsia="Arial" w:hAnsi="Arial" w:cs="Arial"/>
          <w:lang w:val="es-ES"/>
        </w:rPr>
        <w:t>la</w:t>
      </w:r>
      <w:r w:rsidRPr="00AB02B1">
        <w:rPr>
          <w:rFonts w:ascii="Arial" w:eastAsia="Arial" w:hAnsi="Arial" w:cs="Arial"/>
          <w:spacing w:val="-6"/>
          <w:lang w:val="es-ES"/>
        </w:rPr>
        <w:t xml:space="preserve"> </w:t>
      </w:r>
      <w:r w:rsidRPr="00AB02B1">
        <w:rPr>
          <w:rFonts w:ascii="Arial" w:eastAsia="Arial" w:hAnsi="Arial" w:cs="Arial"/>
          <w:spacing w:val="-2"/>
          <w:lang w:val="es-ES"/>
        </w:rPr>
        <w:t>iniciativa.</w:t>
      </w:r>
    </w:p>
    <w:p w14:paraId="0AD97B20" w14:textId="77777777" w:rsidR="00D240CF" w:rsidRPr="00AB02B1" w:rsidRDefault="00D240CF" w:rsidP="00D240CF">
      <w:pPr>
        <w:widowControl w:val="0"/>
        <w:autoSpaceDE w:val="0"/>
        <w:autoSpaceDN w:val="0"/>
        <w:spacing w:before="4"/>
        <w:jc w:val="both"/>
        <w:rPr>
          <w:rFonts w:ascii="Arial" w:eastAsia="Arial" w:hAnsi="Arial" w:cs="Arial"/>
          <w:lang w:val="es-ES"/>
        </w:rPr>
      </w:pPr>
    </w:p>
    <w:p w14:paraId="54553DE9" w14:textId="77777777" w:rsidR="00D240CF" w:rsidRPr="00AB02B1" w:rsidRDefault="00D240CF" w:rsidP="00D240CF">
      <w:pPr>
        <w:widowControl w:val="0"/>
        <w:numPr>
          <w:ilvl w:val="0"/>
          <w:numId w:val="1"/>
        </w:numPr>
        <w:tabs>
          <w:tab w:val="left" w:pos="1634"/>
        </w:tabs>
        <w:autoSpaceDE w:val="0"/>
        <w:autoSpaceDN w:val="0"/>
        <w:ind w:hanging="359"/>
        <w:jc w:val="both"/>
        <w:rPr>
          <w:rFonts w:ascii="Arial" w:eastAsia="Arial" w:hAnsi="Arial" w:cs="Arial"/>
          <w:lang w:val="es-ES"/>
        </w:rPr>
      </w:pPr>
      <w:r w:rsidRPr="00AB02B1">
        <w:rPr>
          <w:rFonts w:ascii="Arial" w:eastAsia="Arial" w:hAnsi="Arial" w:cs="Arial"/>
          <w:lang w:val="es-ES"/>
        </w:rPr>
        <w:t>La</w:t>
      </w:r>
      <w:r w:rsidRPr="00AB02B1">
        <w:rPr>
          <w:rFonts w:ascii="Arial" w:eastAsia="Arial" w:hAnsi="Arial" w:cs="Arial"/>
          <w:spacing w:val="-8"/>
          <w:lang w:val="es-ES"/>
        </w:rPr>
        <w:t xml:space="preserve"> </w:t>
      </w:r>
      <w:r w:rsidRPr="00AB02B1">
        <w:rPr>
          <w:rFonts w:ascii="Arial" w:eastAsia="Arial" w:hAnsi="Arial" w:cs="Arial"/>
          <w:lang w:val="es-ES"/>
        </w:rPr>
        <w:t>necesidad</w:t>
      </w:r>
      <w:r w:rsidRPr="00AB02B1">
        <w:rPr>
          <w:rFonts w:ascii="Arial" w:eastAsia="Arial" w:hAnsi="Arial" w:cs="Arial"/>
          <w:spacing w:val="-8"/>
          <w:lang w:val="es-ES"/>
        </w:rPr>
        <w:t xml:space="preserve"> </w:t>
      </w:r>
      <w:r w:rsidRPr="00AB02B1">
        <w:rPr>
          <w:rFonts w:ascii="Arial" w:eastAsia="Arial" w:hAnsi="Arial" w:cs="Arial"/>
          <w:lang w:val="es-ES"/>
        </w:rPr>
        <w:t>y</w:t>
      </w:r>
      <w:r w:rsidRPr="00AB02B1">
        <w:rPr>
          <w:rFonts w:ascii="Arial" w:eastAsia="Arial" w:hAnsi="Arial" w:cs="Arial"/>
          <w:spacing w:val="-9"/>
          <w:lang w:val="es-ES"/>
        </w:rPr>
        <w:t xml:space="preserve"> </w:t>
      </w:r>
      <w:r w:rsidRPr="00AB02B1">
        <w:rPr>
          <w:rFonts w:ascii="Arial" w:eastAsia="Arial" w:hAnsi="Arial" w:cs="Arial"/>
          <w:lang w:val="es-ES"/>
        </w:rPr>
        <w:t>oportunidad</w:t>
      </w:r>
      <w:r w:rsidRPr="00AB02B1">
        <w:rPr>
          <w:rFonts w:ascii="Arial" w:eastAsia="Arial" w:hAnsi="Arial" w:cs="Arial"/>
          <w:spacing w:val="-7"/>
          <w:lang w:val="es-ES"/>
        </w:rPr>
        <w:t xml:space="preserve"> </w:t>
      </w:r>
      <w:r w:rsidRPr="00AB02B1">
        <w:rPr>
          <w:rFonts w:ascii="Arial" w:eastAsia="Arial" w:hAnsi="Arial" w:cs="Arial"/>
          <w:lang w:val="es-ES"/>
        </w:rPr>
        <w:t>de</w:t>
      </w:r>
      <w:r w:rsidRPr="00AB02B1">
        <w:rPr>
          <w:rFonts w:ascii="Arial" w:eastAsia="Arial" w:hAnsi="Arial" w:cs="Arial"/>
          <w:spacing w:val="-5"/>
          <w:lang w:val="es-ES"/>
        </w:rPr>
        <w:t xml:space="preserve"> </w:t>
      </w:r>
      <w:r w:rsidRPr="00AB02B1">
        <w:rPr>
          <w:rFonts w:ascii="Arial" w:eastAsia="Arial" w:hAnsi="Arial" w:cs="Arial"/>
          <w:lang w:val="es-ES"/>
        </w:rPr>
        <w:t>su</w:t>
      </w:r>
      <w:r w:rsidRPr="00AB02B1">
        <w:rPr>
          <w:rFonts w:ascii="Arial" w:eastAsia="Arial" w:hAnsi="Arial" w:cs="Arial"/>
          <w:spacing w:val="-10"/>
          <w:lang w:val="es-ES"/>
        </w:rPr>
        <w:t xml:space="preserve"> </w:t>
      </w:r>
      <w:r w:rsidRPr="00AB02B1">
        <w:rPr>
          <w:rFonts w:ascii="Arial" w:eastAsia="Arial" w:hAnsi="Arial" w:cs="Arial"/>
          <w:spacing w:val="-2"/>
          <w:lang w:val="es-ES"/>
        </w:rPr>
        <w:t>aprobación.</w:t>
      </w:r>
    </w:p>
    <w:p w14:paraId="6534F1D4" w14:textId="77777777" w:rsidR="00D240CF" w:rsidRPr="00AB02B1" w:rsidRDefault="00D240CF" w:rsidP="00D240CF">
      <w:pPr>
        <w:widowControl w:val="0"/>
        <w:autoSpaceDE w:val="0"/>
        <w:autoSpaceDN w:val="0"/>
        <w:spacing w:before="10"/>
        <w:jc w:val="both"/>
        <w:rPr>
          <w:rFonts w:ascii="Arial" w:eastAsia="Arial" w:hAnsi="Arial" w:cs="Arial"/>
          <w:lang w:val="es-ES"/>
        </w:rPr>
      </w:pPr>
    </w:p>
    <w:p w14:paraId="3B2E3838" w14:textId="77777777" w:rsidR="00D240CF" w:rsidRPr="00AB02B1" w:rsidRDefault="00D240CF" w:rsidP="00D240CF">
      <w:pPr>
        <w:widowControl w:val="0"/>
        <w:numPr>
          <w:ilvl w:val="0"/>
          <w:numId w:val="1"/>
        </w:numPr>
        <w:tabs>
          <w:tab w:val="left" w:pos="1634"/>
        </w:tabs>
        <w:autoSpaceDE w:val="0"/>
        <w:autoSpaceDN w:val="0"/>
        <w:ind w:hanging="359"/>
        <w:jc w:val="both"/>
        <w:rPr>
          <w:rFonts w:ascii="Arial" w:eastAsia="Arial" w:hAnsi="Arial" w:cs="Arial"/>
          <w:lang w:val="es-ES"/>
        </w:rPr>
      </w:pPr>
      <w:r w:rsidRPr="00AB02B1">
        <w:rPr>
          <w:rFonts w:ascii="Arial" w:eastAsia="Arial" w:hAnsi="Arial" w:cs="Arial"/>
          <w:lang w:val="es-ES"/>
        </w:rPr>
        <w:t>Los</w:t>
      </w:r>
      <w:r w:rsidRPr="00AB02B1">
        <w:rPr>
          <w:rFonts w:ascii="Arial" w:eastAsia="Arial" w:hAnsi="Arial" w:cs="Arial"/>
          <w:spacing w:val="-6"/>
          <w:lang w:val="es-ES"/>
        </w:rPr>
        <w:t xml:space="preserve"> </w:t>
      </w:r>
      <w:r w:rsidRPr="00AB02B1">
        <w:rPr>
          <w:rFonts w:ascii="Arial" w:eastAsia="Arial" w:hAnsi="Arial" w:cs="Arial"/>
          <w:lang w:val="es-ES"/>
        </w:rPr>
        <w:t>objetivos</w:t>
      </w:r>
      <w:r w:rsidRPr="00AB02B1">
        <w:rPr>
          <w:rFonts w:ascii="Arial" w:eastAsia="Arial" w:hAnsi="Arial" w:cs="Arial"/>
          <w:spacing w:val="-8"/>
          <w:lang w:val="es-ES"/>
        </w:rPr>
        <w:t xml:space="preserve"> </w:t>
      </w:r>
      <w:r w:rsidRPr="00AB02B1">
        <w:rPr>
          <w:rFonts w:ascii="Arial" w:eastAsia="Arial" w:hAnsi="Arial" w:cs="Arial"/>
          <w:lang w:val="es-ES"/>
        </w:rPr>
        <w:t>de</w:t>
      </w:r>
      <w:r w:rsidRPr="00AB02B1">
        <w:rPr>
          <w:rFonts w:ascii="Arial" w:eastAsia="Arial" w:hAnsi="Arial" w:cs="Arial"/>
          <w:spacing w:val="-6"/>
          <w:lang w:val="es-ES"/>
        </w:rPr>
        <w:t xml:space="preserve"> </w:t>
      </w:r>
      <w:r w:rsidRPr="00AB02B1">
        <w:rPr>
          <w:rFonts w:ascii="Arial" w:eastAsia="Arial" w:hAnsi="Arial" w:cs="Arial"/>
          <w:lang w:val="es-ES"/>
        </w:rPr>
        <w:t>la</w:t>
      </w:r>
      <w:r w:rsidRPr="00AB02B1">
        <w:rPr>
          <w:rFonts w:ascii="Arial" w:eastAsia="Arial" w:hAnsi="Arial" w:cs="Arial"/>
          <w:spacing w:val="-7"/>
          <w:lang w:val="es-ES"/>
        </w:rPr>
        <w:t xml:space="preserve"> </w:t>
      </w:r>
      <w:r w:rsidRPr="00AB02B1">
        <w:rPr>
          <w:rFonts w:ascii="Arial" w:eastAsia="Arial" w:hAnsi="Arial" w:cs="Arial"/>
          <w:spacing w:val="-2"/>
          <w:lang w:val="es-ES"/>
        </w:rPr>
        <w:t>norma.</w:t>
      </w:r>
    </w:p>
    <w:p w14:paraId="772F8CE3" w14:textId="77777777" w:rsidR="00D240CF" w:rsidRPr="00AB02B1" w:rsidRDefault="00D240CF" w:rsidP="00D240CF">
      <w:pPr>
        <w:widowControl w:val="0"/>
        <w:autoSpaceDE w:val="0"/>
        <w:autoSpaceDN w:val="0"/>
        <w:spacing w:before="2"/>
        <w:jc w:val="both"/>
        <w:rPr>
          <w:rFonts w:ascii="Arial" w:eastAsia="Arial" w:hAnsi="Arial" w:cs="Arial"/>
          <w:lang w:val="es-ES"/>
        </w:rPr>
      </w:pPr>
    </w:p>
    <w:p w14:paraId="1A07E07D" w14:textId="28116256" w:rsidR="00D240CF" w:rsidRPr="00F0143B" w:rsidRDefault="00D240CF" w:rsidP="001603D4">
      <w:pPr>
        <w:widowControl w:val="0"/>
        <w:numPr>
          <w:ilvl w:val="0"/>
          <w:numId w:val="1"/>
        </w:numPr>
        <w:tabs>
          <w:tab w:val="left" w:pos="1634"/>
        </w:tabs>
        <w:autoSpaceDE w:val="0"/>
        <w:autoSpaceDN w:val="0"/>
        <w:spacing w:after="240"/>
        <w:ind w:hanging="359"/>
        <w:jc w:val="both"/>
        <w:rPr>
          <w:rFonts w:ascii="Arial" w:eastAsia="Arial" w:hAnsi="Arial" w:cs="Arial"/>
          <w:lang w:val="es-ES"/>
        </w:rPr>
      </w:pPr>
      <w:r w:rsidRPr="00AB02B1">
        <w:rPr>
          <w:rFonts w:ascii="Arial" w:eastAsia="Arial" w:hAnsi="Arial" w:cs="Arial"/>
          <w:lang w:val="es-ES"/>
        </w:rPr>
        <w:t>Las</w:t>
      </w:r>
      <w:r w:rsidRPr="00AB02B1">
        <w:rPr>
          <w:rFonts w:ascii="Arial" w:eastAsia="Arial" w:hAnsi="Arial" w:cs="Arial"/>
          <w:spacing w:val="-16"/>
          <w:lang w:val="es-ES"/>
        </w:rPr>
        <w:t xml:space="preserve"> </w:t>
      </w:r>
      <w:r w:rsidRPr="00AB02B1">
        <w:rPr>
          <w:rFonts w:ascii="Arial" w:eastAsia="Arial" w:hAnsi="Arial" w:cs="Arial"/>
          <w:lang w:val="es-ES"/>
        </w:rPr>
        <w:t>posibles</w:t>
      </w:r>
      <w:r w:rsidRPr="00AB02B1">
        <w:rPr>
          <w:rFonts w:ascii="Arial" w:eastAsia="Arial" w:hAnsi="Arial" w:cs="Arial"/>
          <w:spacing w:val="-13"/>
          <w:lang w:val="es-ES"/>
        </w:rPr>
        <w:t xml:space="preserve"> </w:t>
      </w:r>
      <w:r w:rsidRPr="00AB02B1">
        <w:rPr>
          <w:rFonts w:ascii="Arial" w:eastAsia="Arial" w:hAnsi="Arial" w:cs="Arial"/>
          <w:lang w:val="es-ES"/>
        </w:rPr>
        <w:t>soluciones</w:t>
      </w:r>
      <w:r w:rsidRPr="00AB02B1">
        <w:rPr>
          <w:rFonts w:ascii="Arial" w:eastAsia="Arial" w:hAnsi="Arial" w:cs="Arial"/>
          <w:spacing w:val="-15"/>
          <w:lang w:val="es-ES"/>
        </w:rPr>
        <w:t xml:space="preserve"> </w:t>
      </w:r>
      <w:r w:rsidRPr="00AB02B1">
        <w:rPr>
          <w:rFonts w:ascii="Arial" w:eastAsia="Arial" w:hAnsi="Arial" w:cs="Arial"/>
          <w:lang w:val="es-ES"/>
        </w:rPr>
        <w:t>alternativas</w:t>
      </w:r>
      <w:r w:rsidRPr="00AB02B1">
        <w:rPr>
          <w:rFonts w:ascii="Arial" w:eastAsia="Arial" w:hAnsi="Arial" w:cs="Arial"/>
          <w:spacing w:val="-13"/>
          <w:lang w:val="es-ES"/>
        </w:rPr>
        <w:t xml:space="preserve"> </w:t>
      </w:r>
      <w:r w:rsidRPr="00AB02B1">
        <w:rPr>
          <w:rFonts w:ascii="Arial" w:eastAsia="Arial" w:hAnsi="Arial" w:cs="Arial"/>
          <w:lang w:val="es-ES"/>
        </w:rPr>
        <w:t>regulatorias</w:t>
      </w:r>
      <w:r w:rsidRPr="00AB02B1">
        <w:rPr>
          <w:rFonts w:ascii="Arial" w:eastAsia="Arial" w:hAnsi="Arial" w:cs="Arial"/>
          <w:spacing w:val="-15"/>
          <w:lang w:val="es-ES"/>
        </w:rPr>
        <w:t xml:space="preserve"> </w:t>
      </w:r>
      <w:r w:rsidRPr="00AB02B1">
        <w:rPr>
          <w:rFonts w:ascii="Arial" w:eastAsia="Arial" w:hAnsi="Arial" w:cs="Arial"/>
          <w:lang w:val="es-ES"/>
        </w:rPr>
        <w:t>y</w:t>
      </w:r>
      <w:r w:rsidRPr="00AB02B1">
        <w:rPr>
          <w:rFonts w:ascii="Arial" w:eastAsia="Arial" w:hAnsi="Arial" w:cs="Arial"/>
          <w:spacing w:val="-15"/>
          <w:lang w:val="es-ES"/>
        </w:rPr>
        <w:t xml:space="preserve"> </w:t>
      </w:r>
      <w:r w:rsidRPr="00AB02B1">
        <w:rPr>
          <w:rFonts w:ascii="Arial" w:eastAsia="Arial" w:hAnsi="Arial" w:cs="Arial"/>
          <w:lang w:val="es-ES"/>
        </w:rPr>
        <w:t>no</w:t>
      </w:r>
      <w:r w:rsidRPr="00AB02B1">
        <w:rPr>
          <w:rFonts w:ascii="Arial" w:eastAsia="Arial" w:hAnsi="Arial" w:cs="Arial"/>
          <w:spacing w:val="-13"/>
          <w:lang w:val="es-ES"/>
        </w:rPr>
        <w:t xml:space="preserve"> </w:t>
      </w:r>
      <w:r w:rsidRPr="00AB02B1">
        <w:rPr>
          <w:rFonts w:ascii="Arial" w:eastAsia="Arial" w:hAnsi="Arial" w:cs="Arial"/>
          <w:spacing w:val="-2"/>
          <w:lang w:val="es-ES"/>
        </w:rPr>
        <w:t>regulatorias.</w:t>
      </w:r>
    </w:p>
    <w:p w14:paraId="3B3BC931" w14:textId="77777777" w:rsidR="00D240CF" w:rsidRPr="001603D4" w:rsidRDefault="00D240CF" w:rsidP="001603D4">
      <w:pPr>
        <w:jc w:val="both"/>
        <w:rPr>
          <w:rFonts w:ascii="Arial" w:hAnsi="Arial" w:cs="Arial"/>
          <w:lang w:val="es-ES"/>
        </w:rPr>
      </w:pPr>
      <w:r w:rsidRPr="001603D4">
        <w:rPr>
          <w:rFonts w:ascii="Arial" w:hAnsi="Arial" w:cs="Arial"/>
          <w:lang w:val="es-ES"/>
        </w:rPr>
        <w:t>Los interesados pueden realizar observaciones y comentarios en relación no sólo sobre cuestiones expresamente planteadas en el apartado d) de la presente consulta, sino sobre cualesquiera otras que consideren relevantes en relación con el paquete normativo de transposición.</w:t>
      </w:r>
    </w:p>
    <w:p w14:paraId="7FA235F6" w14:textId="77777777" w:rsidR="00D240CF" w:rsidRDefault="00D240CF" w:rsidP="00D240CF">
      <w:pPr>
        <w:pStyle w:val="Textoindependiente"/>
        <w:spacing w:line="276" w:lineRule="auto"/>
        <w:ind w:left="205" w:right="397"/>
        <w:jc w:val="both"/>
      </w:pPr>
    </w:p>
    <w:p w14:paraId="0CFD246B" w14:textId="77777777" w:rsidR="00D240CF" w:rsidRDefault="00D240CF" w:rsidP="00D240CF">
      <w:pPr>
        <w:pStyle w:val="Ttulo1"/>
        <w:numPr>
          <w:ilvl w:val="0"/>
          <w:numId w:val="5"/>
        </w:numPr>
        <w:spacing w:before="160" w:after="160"/>
        <w:ind w:left="357" w:hanging="357"/>
        <w:jc w:val="both"/>
        <w:rPr>
          <w:rFonts w:ascii="Arial" w:hAnsi="Arial" w:cs="Arial"/>
          <w:b/>
          <w:bCs/>
          <w:color w:val="auto"/>
          <w:sz w:val="22"/>
          <w:szCs w:val="22"/>
          <w:lang w:val="es-ES"/>
        </w:rPr>
      </w:pPr>
      <w:r w:rsidRPr="008548CD">
        <w:rPr>
          <w:rFonts w:ascii="Arial" w:hAnsi="Arial" w:cs="Arial"/>
          <w:b/>
          <w:bCs/>
          <w:color w:val="auto"/>
          <w:sz w:val="22"/>
          <w:szCs w:val="22"/>
          <w:lang w:val="es-ES"/>
        </w:rPr>
        <w:t>Descripción de la propuesta. Antecedentes.</w:t>
      </w:r>
    </w:p>
    <w:tbl>
      <w:tblPr>
        <w:tblStyle w:val="Tablaconcuadrcula"/>
        <w:tblW w:w="0" w:type="auto"/>
        <w:tblLook w:val="04A0" w:firstRow="1" w:lastRow="0" w:firstColumn="1" w:lastColumn="0" w:noHBand="0" w:noVBand="1"/>
      </w:tblPr>
      <w:tblGrid>
        <w:gridCol w:w="9629"/>
      </w:tblGrid>
      <w:tr w:rsidR="00D240CF" w:rsidRPr="005E3E71" w14:paraId="0EAA55AD" w14:textId="77777777">
        <w:tc>
          <w:tcPr>
            <w:tcW w:w="9629" w:type="dxa"/>
          </w:tcPr>
          <w:p w14:paraId="666ACEB2" w14:textId="77777777" w:rsidR="00D240CF" w:rsidRPr="00AB02B1" w:rsidRDefault="00D240CF">
            <w:pPr>
              <w:spacing w:before="160"/>
              <w:jc w:val="both"/>
              <w:rPr>
                <w:rFonts w:ascii="Arial" w:hAnsi="Arial" w:cs="Arial"/>
                <w:lang w:val="es-ES"/>
              </w:rPr>
            </w:pPr>
            <w:r w:rsidRPr="00AB02B1">
              <w:rPr>
                <w:rFonts w:ascii="Arial" w:hAnsi="Arial" w:cs="Arial"/>
                <w:lang w:val="es-ES"/>
              </w:rPr>
              <w:t xml:space="preserve">La estabilidad del sistema financiero y la protección de los depositantes son objetivos esenciales de la Unión Bancaria. En este contexto, la Unión Europea ha desarrollado un marco común para </w:t>
            </w:r>
            <w:r w:rsidRPr="00AB02B1">
              <w:rPr>
                <w:rFonts w:ascii="Arial" w:hAnsi="Arial" w:cs="Arial"/>
                <w:lang w:val="es-ES"/>
              </w:rPr>
              <w:lastRenderedPageBreak/>
              <w:t xml:space="preserve">la gestión de crisis bancarias que combina instrumentos de resolución y liquidación, buscando minimizar su impacto sobre la economía, evitar el uso de fondos públicos y salvaguardar el interés ciudadano en el curso de procesos que garanticen la colaboración entre autoridades europeas y nacionales, celeridad en el procedimiento y la seguridad jurídica. </w:t>
            </w:r>
          </w:p>
          <w:p w14:paraId="2A887ADA" w14:textId="77777777" w:rsidR="00D240CF" w:rsidRPr="00AB02B1" w:rsidRDefault="00D240CF">
            <w:pPr>
              <w:spacing w:before="160"/>
              <w:jc w:val="both"/>
              <w:rPr>
                <w:rFonts w:ascii="Arial" w:hAnsi="Arial" w:cs="Arial"/>
                <w:lang w:val="es-ES"/>
              </w:rPr>
            </w:pPr>
            <w:r w:rsidRPr="00AB02B1">
              <w:rPr>
                <w:rFonts w:ascii="Arial" w:hAnsi="Arial" w:cs="Arial"/>
                <w:lang w:val="es-ES"/>
              </w:rPr>
              <w:t xml:space="preserve">Dicho marco está encabezado por la Directiva 2014/59/UE del Parlamento Europeo y el Consejo, de 15 de mayo de 2014, por la que se establece un marco para la recuperación y resolución de entidades de crédito y empresas de servicios de inversión (en adelante, BRRD) y el Reglamento 806/2014 del Parlamento Europeo y el Consejo, de 15 de julio de 2014, por el que se establecen normas uniformes y un procedimiento uniforme para la resolución de entidades de crédito y determinadas empresas de servicios de inversión en el marco de un Mecanismo Único de Resolución y Fondo único de resolución (en adelante, SRMR). La trasposición de la BRRD se llevó a cabo en España con la aprobación de la Ley 11/2015, de 18 de junio, de recuperación y resolución de entidades de crédito y empresas de servicios de inversión, que desarrolla el ámbito nacional de la resolución. Finalmente, el marco de gestión de crisis se completa con la Directiva 49/2014, del Parlamento Europeo y del Consejo, de 16 de abril de 2014, relativa a los sistemas de garantía de depósitos (en adelante, DGSD), transpuesta en nuestro ordenamiento mediante la inclusión de modificaciones al Real Decreto-ley 16/2011, de 14 de octubre, por el que se crea el Fondo de Garantía de Depósitos de Entidades de Crédito. </w:t>
            </w:r>
          </w:p>
          <w:p w14:paraId="50DDBE28" w14:textId="77777777" w:rsidR="00D240CF" w:rsidRPr="00AB02B1" w:rsidRDefault="00D240CF">
            <w:pPr>
              <w:spacing w:before="160"/>
              <w:jc w:val="both"/>
              <w:rPr>
                <w:rFonts w:ascii="Arial" w:hAnsi="Arial" w:cs="Arial"/>
                <w:lang w:val="es-ES"/>
              </w:rPr>
            </w:pPr>
            <w:r w:rsidRPr="00AB02B1">
              <w:rPr>
                <w:rFonts w:ascii="Arial" w:hAnsi="Arial" w:cs="Arial"/>
                <w:lang w:val="es-ES"/>
              </w:rPr>
              <w:t xml:space="preserve">Este marco ha sido recientemente reformado por el conocido como paquete de reforma del marco de gestión de crisis y garantía de depósitos (en adelante, paquete CMDI, por sus siglas en inglés) cuyo objetivo fundamental es ajustar y seguir reforzando el actual marco de gestión de crisis bancarias y garantía de depósitos de la UE, centrándose en los bancos medianos y pequeños. Dicho paquete de reforma está integrado por las siguientes normas: </w:t>
            </w:r>
          </w:p>
          <w:p w14:paraId="65D4F0E0" w14:textId="77777777" w:rsidR="00D240CF" w:rsidRPr="00D73597" w:rsidRDefault="00D240CF" w:rsidP="00D240CF">
            <w:pPr>
              <w:pStyle w:val="Prrafodelista"/>
              <w:numPr>
                <w:ilvl w:val="0"/>
                <w:numId w:val="29"/>
              </w:numPr>
              <w:spacing w:before="160" w:after="160" w:line="278" w:lineRule="auto"/>
              <w:jc w:val="both"/>
              <w:rPr>
                <w:rFonts w:ascii="Arial" w:hAnsi="Arial" w:cs="Arial"/>
                <w:lang w:val="es-ES"/>
              </w:rPr>
            </w:pPr>
            <w:r w:rsidRPr="00D73597">
              <w:rPr>
                <w:rFonts w:ascii="Arial" w:hAnsi="Arial" w:cs="Arial"/>
                <w:b/>
                <w:lang w:val="es-ES"/>
              </w:rPr>
              <w:t xml:space="preserve">Directiva (UE) 2026/806 </w:t>
            </w:r>
            <w:r w:rsidRPr="00D73597">
              <w:rPr>
                <w:rFonts w:ascii="Arial" w:hAnsi="Arial" w:cs="Arial"/>
                <w:lang w:val="es-ES"/>
              </w:rPr>
              <w:t xml:space="preserve">del Parlamento Europeo y del Consejo, de 30 de marzo de 2026, por la que se modifica la Directiva 2014/59/UE en lo que respecta a las medidas de actuación temprana, las </w:t>
            </w:r>
            <w:r w:rsidRPr="00D73597">
              <w:rPr>
                <w:rFonts w:ascii="Arial" w:hAnsi="Arial" w:cs="Arial"/>
                <w:u w:val="single"/>
                <w:lang w:val="es-ES"/>
              </w:rPr>
              <w:t>condiciones de resolución y la financiación de las medidas de resolución</w:t>
            </w:r>
            <w:r w:rsidRPr="00D73597">
              <w:rPr>
                <w:rFonts w:ascii="Arial" w:hAnsi="Arial" w:cs="Arial"/>
                <w:lang w:val="es-ES"/>
              </w:rPr>
              <w:t xml:space="preserve"> y la Directiva 2014/24/UE en lo que respecta a los </w:t>
            </w:r>
            <w:r w:rsidRPr="00D73597">
              <w:rPr>
                <w:rFonts w:ascii="Arial" w:hAnsi="Arial" w:cs="Arial"/>
                <w:u w:val="single"/>
                <w:lang w:val="es-ES"/>
              </w:rPr>
              <w:t>servicios de valoración en caso de resolución.</w:t>
            </w:r>
          </w:p>
          <w:p w14:paraId="3529B43E" w14:textId="77777777" w:rsidR="00D240CF" w:rsidRPr="00D73597" w:rsidRDefault="00D240CF" w:rsidP="00D240CF">
            <w:pPr>
              <w:pStyle w:val="Prrafodelista"/>
              <w:numPr>
                <w:ilvl w:val="0"/>
                <w:numId w:val="29"/>
              </w:numPr>
              <w:spacing w:before="160" w:after="160" w:line="278" w:lineRule="auto"/>
              <w:jc w:val="both"/>
              <w:rPr>
                <w:rFonts w:ascii="Arial" w:hAnsi="Arial" w:cs="Arial"/>
                <w:lang w:val="es-ES"/>
              </w:rPr>
            </w:pPr>
            <w:r w:rsidRPr="00D73597">
              <w:rPr>
                <w:rFonts w:ascii="Arial" w:hAnsi="Arial" w:cs="Arial"/>
                <w:b/>
                <w:lang w:val="es-ES"/>
              </w:rPr>
              <w:t xml:space="preserve">Directiva (UE) 2026/804 </w:t>
            </w:r>
            <w:r w:rsidRPr="00D73597">
              <w:rPr>
                <w:rFonts w:ascii="Arial" w:hAnsi="Arial" w:cs="Arial"/>
                <w:lang w:val="es-ES"/>
              </w:rPr>
              <w:t xml:space="preserve">del Parlamento Europeo y del Consejo, de 30 de marzo de 2026, por la que se modifica la Directiva 2014/49/UE en lo que respecta al alcance de la </w:t>
            </w:r>
            <w:r w:rsidRPr="00D73597">
              <w:rPr>
                <w:rFonts w:ascii="Arial" w:hAnsi="Arial" w:cs="Arial"/>
                <w:u w:val="single"/>
                <w:lang w:val="es-ES"/>
              </w:rPr>
              <w:t>protección de los depósitos</w:t>
            </w:r>
            <w:r w:rsidRPr="00D73597">
              <w:rPr>
                <w:rFonts w:ascii="Arial" w:hAnsi="Arial" w:cs="Arial"/>
                <w:lang w:val="es-ES"/>
              </w:rPr>
              <w:t xml:space="preserve">, la utilización de los fondos de los </w:t>
            </w:r>
            <w:r w:rsidRPr="00D73597">
              <w:rPr>
                <w:rFonts w:ascii="Arial" w:hAnsi="Arial" w:cs="Arial"/>
                <w:u w:val="single"/>
                <w:lang w:val="es-ES"/>
              </w:rPr>
              <w:t>sistemas de garantía de depósitos</w:t>
            </w:r>
            <w:r w:rsidRPr="00D73597">
              <w:rPr>
                <w:rFonts w:ascii="Arial" w:hAnsi="Arial" w:cs="Arial"/>
                <w:lang w:val="es-ES"/>
              </w:rPr>
              <w:t>, la cooperación transfronteriza y la transparencia.</w:t>
            </w:r>
          </w:p>
          <w:p w14:paraId="1BF47376" w14:textId="77777777" w:rsidR="00D240CF" w:rsidRPr="00D73597" w:rsidRDefault="00D240CF" w:rsidP="00D240CF">
            <w:pPr>
              <w:pStyle w:val="Prrafodelista"/>
              <w:numPr>
                <w:ilvl w:val="0"/>
                <w:numId w:val="29"/>
              </w:numPr>
              <w:spacing w:before="160" w:after="160" w:line="278" w:lineRule="auto"/>
              <w:jc w:val="both"/>
              <w:rPr>
                <w:rFonts w:ascii="Arial" w:hAnsi="Arial" w:cs="Arial"/>
                <w:lang w:val="es-ES"/>
              </w:rPr>
            </w:pPr>
            <w:r w:rsidRPr="00D73597">
              <w:rPr>
                <w:rFonts w:ascii="Arial" w:hAnsi="Arial" w:cs="Arial"/>
                <w:lang w:val="es-ES"/>
              </w:rPr>
              <w:t>Reglamento (UE) 2026/808 del Parlamento Europeo y del Consejo, de 30 de marzo de 2026 por el que se modifica el Reglamento (UE) 806/2014 en lo que respecta a las medidas de actuación temprana, las condiciones de resolución y la financiación de las medidas de resolución</w:t>
            </w:r>
          </w:p>
          <w:p w14:paraId="0BFE2D8B" w14:textId="77777777" w:rsidR="00D240CF" w:rsidRPr="00D73597" w:rsidRDefault="00D240CF">
            <w:pPr>
              <w:spacing w:before="160"/>
              <w:jc w:val="both"/>
              <w:rPr>
                <w:rFonts w:ascii="Arial" w:hAnsi="Arial" w:cs="Arial"/>
                <w:lang w:val="es-ES"/>
              </w:rPr>
            </w:pPr>
            <w:r w:rsidRPr="00D73597">
              <w:rPr>
                <w:rFonts w:ascii="Arial" w:hAnsi="Arial" w:cs="Arial"/>
                <w:lang w:val="es-ES"/>
              </w:rPr>
              <w:t>El paquete CMDI, entre otros cambios, facilita la resolución de entidades de menor tamaño, aunque no se trate de entidades sistémicas a nivel europeo, asegurando la disponibilidad de recursos. Para ello, se facilita el acceso a los recursos del fondo de garantía de depósitos en la gestión de las crisis bancarias, facilitando la protección de los depositantes y de la estabilidad financiera con el uso de fondos financiados por la industria y por lo tanto protegiendo al contribuyente del coste de crisis bancarias</w:t>
            </w:r>
          </w:p>
          <w:p w14:paraId="3125DF66" w14:textId="77777777" w:rsidR="00D240CF" w:rsidRPr="00D73597" w:rsidRDefault="00D240CF">
            <w:pPr>
              <w:spacing w:before="160"/>
              <w:jc w:val="both"/>
              <w:rPr>
                <w:rFonts w:ascii="Arial" w:hAnsi="Arial" w:cs="Arial"/>
                <w:lang w:val="es-ES"/>
              </w:rPr>
            </w:pPr>
            <w:r w:rsidRPr="00D73597">
              <w:rPr>
                <w:rFonts w:ascii="Arial" w:hAnsi="Arial" w:cs="Arial"/>
                <w:lang w:val="es-ES"/>
              </w:rPr>
              <w:t xml:space="preserve">Las opciones nacionales planteadas por el legislador europeo y objeto central de esta consulta se refieren al uso del sistema de garantía de depósitos en resolución o liquidación, los límites de la contribución del FGD en determinadas circunstancias, el alcance de la cobertura a determinados depósitos, la coordinación con sistemas institucionales de protección y la posible cobertura de sucursales en terceros países. Adicionalmente, se incorpora a la consulta la posibilidad de incorporar a nuestro ordenamiento el uso por el FGD de medidas en el seno de la liquidación, siempre que se garantice el acceso a los depósitos. </w:t>
            </w:r>
          </w:p>
          <w:p w14:paraId="14F824D9" w14:textId="77777777" w:rsidR="00D240CF" w:rsidRPr="00D73597" w:rsidRDefault="00D240CF">
            <w:pPr>
              <w:spacing w:before="160"/>
              <w:jc w:val="both"/>
              <w:rPr>
                <w:rFonts w:ascii="Arial" w:hAnsi="Arial" w:cs="Arial"/>
                <w:lang w:val="es-ES"/>
              </w:rPr>
            </w:pPr>
          </w:p>
        </w:tc>
      </w:tr>
    </w:tbl>
    <w:p w14:paraId="37A59435" w14:textId="77777777" w:rsidR="00D240CF" w:rsidRPr="009F1D58" w:rsidRDefault="00D240CF" w:rsidP="00D240CF">
      <w:pPr>
        <w:rPr>
          <w:lang w:val="es-ES"/>
        </w:rPr>
      </w:pPr>
    </w:p>
    <w:p w14:paraId="66337E3B" w14:textId="77777777" w:rsidR="00D240CF" w:rsidRPr="008548CD" w:rsidRDefault="00D240CF" w:rsidP="00D240CF">
      <w:pPr>
        <w:pStyle w:val="Ttulo1"/>
        <w:numPr>
          <w:ilvl w:val="0"/>
          <w:numId w:val="5"/>
        </w:numPr>
        <w:spacing w:before="160" w:after="160"/>
        <w:ind w:left="357" w:hanging="357"/>
        <w:jc w:val="both"/>
        <w:rPr>
          <w:rFonts w:ascii="Arial" w:eastAsia="Arial" w:hAnsi="Arial" w:cs="Arial"/>
          <w:b/>
          <w:bCs/>
          <w:sz w:val="22"/>
          <w:szCs w:val="22"/>
          <w:lang w:val="es-ES"/>
        </w:rPr>
      </w:pPr>
      <w:r w:rsidRPr="008548CD">
        <w:rPr>
          <w:rFonts w:ascii="Arial" w:hAnsi="Arial" w:cs="Arial"/>
          <w:b/>
          <w:bCs/>
          <w:color w:val="auto"/>
          <w:sz w:val="22"/>
          <w:szCs w:val="22"/>
          <w:lang w:val="es-ES"/>
        </w:rPr>
        <w:t>Problemas que se pretenden solucionar con la nueva norma.</w:t>
      </w:r>
    </w:p>
    <w:tbl>
      <w:tblPr>
        <w:tblStyle w:val="Tablaconcuadrcula"/>
        <w:tblW w:w="0" w:type="auto"/>
        <w:tblLook w:val="04A0" w:firstRow="1" w:lastRow="0" w:firstColumn="1" w:lastColumn="0" w:noHBand="0" w:noVBand="1"/>
      </w:tblPr>
      <w:tblGrid>
        <w:gridCol w:w="9629"/>
      </w:tblGrid>
      <w:tr w:rsidR="00D240CF" w:rsidRPr="005E3E71" w14:paraId="109F2026" w14:textId="77777777">
        <w:tc>
          <w:tcPr>
            <w:tcW w:w="9629" w:type="dxa"/>
          </w:tcPr>
          <w:p w14:paraId="607E9A7D" w14:textId="77777777" w:rsidR="00D240CF" w:rsidRPr="00EA26E9" w:rsidRDefault="00D240CF">
            <w:pPr>
              <w:spacing w:before="160" w:after="160"/>
              <w:jc w:val="both"/>
              <w:rPr>
                <w:rFonts w:ascii="Arial" w:eastAsia="Arial" w:hAnsi="Arial" w:cs="Arial"/>
                <w:lang w:val="es-ES"/>
              </w:rPr>
            </w:pPr>
            <w:r w:rsidRPr="00EA26E9">
              <w:rPr>
                <w:rFonts w:ascii="Arial" w:eastAsia="Arial" w:hAnsi="Arial" w:cs="Arial"/>
                <w:lang w:val="es-ES"/>
              </w:rPr>
              <w:t>La reforma se orienta a proteger la estabilidad financiera, al dotar a las autoridades de instrumentos más flexibles para gestionar la crisis de entidades bancarias medianas y pequeñas sin recurrir a la liquidación desordenada. Al facilitar soluciones de resolución y ventas ordenadas, se reduce significativamente el riesgo de contagio a otras entidades y al resto del sistema financiero, preservando el correcto funcionamiento de los mercados y evitando episodios de inestabilidad sistémica.</w:t>
            </w:r>
          </w:p>
          <w:p w14:paraId="73F98D51" w14:textId="77777777" w:rsidR="00D240CF" w:rsidRPr="00EA26E9" w:rsidRDefault="00D240CF">
            <w:pPr>
              <w:spacing w:before="160" w:after="160"/>
              <w:jc w:val="both"/>
              <w:rPr>
                <w:rFonts w:ascii="Arial" w:eastAsia="Arial" w:hAnsi="Arial" w:cs="Arial"/>
                <w:lang w:val="es-ES"/>
              </w:rPr>
            </w:pPr>
            <w:r w:rsidRPr="00EA26E9">
              <w:rPr>
                <w:rFonts w:ascii="Arial" w:eastAsia="Arial" w:hAnsi="Arial" w:cs="Arial"/>
                <w:lang w:val="es-ES"/>
              </w:rPr>
              <w:t>Asimismo, refuerza la confianza de los depositantes, ya que prioriza mecanismos que garantizan la continuidad del acceso a los depósitos, incluso en situaciones de crisis. La implicación del Fondo de Garantía de Depósitos y la preferencia de los depósitos en la jerarquía concursal contribuyen a transmitir un mensaje claro de protección y previsibilidad, reduciendo el riesgo de retiradas masivas de fondos y reforzando la disciplina y estabilidad del sistema bancario.</w:t>
            </w:r>
          </w:p>
          <w:p w14:paraId="2AA17F58" w14:textId="7C6DE14D" w:rsidR="00D240CF" w:rsidRDefault="00D240CF">
            <w:pPr>
              <w:spacing w:before="160" w:after="160"/>
              <w:jc w:val="both"/>
              <w:rPr>
                <w:rFonts w:ascii="Arial" w:eastAsia="Arial" w:hAnsi="Arial" w:cs="Arial"/>
                <w:lang w:val="es-ES"/>
              </w:rPr>
            </w:pPr>
            <w:r w:rsidRPr="00EA26E9">
              <w:rPr>
                <w:rFonts w:ascii="Arial" w:eastAsia="Arial" w:hAnsi="Arial" w:cs="Arial"/>
                <w:lang w:val="es-ES"/>
              </w:rPr>
              <w:t>Por último, la reforma protege al contribuyente, en la medida en que limita la necesidad de recurrir a recursos públicos para hacer frente a crisis bancarias. Al ampliar el papel de los fondos financiados por el propio sector y mantener el principio de que accionistas y acreedores son los primeros en absorber las pérdidas, se evita la socialización de los costes de las quiebras bancarias y se refuerza el marco de responsabilidad y sostenibilidad fiscal.</w:t>
            </w:r>
          </w:p>
        </w:tc>
      </w:tr>
    </w:tbl>
    <w:p w14:paraId="43A108BA" w14:textId="77777777" w:rsidR="00D240CF" w:rsidRDefault="00D240CF" w:rsidP="00D240CF">
      <w:pPr>
        <w:spacing w:before="160" w:after="160"/>
        <w:jc w:val="both"/>
        <w:rPr>
          <w:rFonts w:ascii="Arial" w:eastAsia="Arial" w:hAnsi="Arial" w:cs="Arial"/>
          <w:lang w:val="es-ES"/>
        </w:rPr>
      </w:pPr>
    </w:p>
    <w:p w14:paraId="13D8A6E2" w14:textId="77777777" w:rsidR="00D240CF" w:rsidRPr="008548CD" w:rsidRDefault="00D240CF" w:rsidP="00D240CF">
      <w:pPr>
        <w:pStyle w:val="Ttulo1"/>
        <w:numPr>
          <w:ilvl w:val="0"/>
          <w:numId w:val="5"/>
        </w:numPr>
        <w:spacing w:before="160" w:after="160"/>
        <w:ind w:left="357" w:hanging="357"/>
        <w:jc w:val="both"/>
        <w:rPr>
          <w:rFonts w:ascii="Arial" w:eastAsia="Arial" w:hAnsi="Arial" w:cs="Arial"/>
          <w:sz w:val="22"/>
          <w:szCs w:val="22"/>
          <w:lang w:val="es-ES"/>
        </w:rPr>
      </w:pPr>
      <w:r w:rsidRPr="008548CD">
        <w:rPr>
          <w:rFonts w:ascii="Arial" w:hAnsi="Arial" w:cs="Arial"/>
          <w:b/>
          <w:bCs/>
          <w:color w:val="auto"/>
          <w:sz w:val="22"/>
          <w:szCs w:val="22"/>
          <w:lang w:val="es-ES"/>
        </w:rPr>
        <w:t>Necesidad y oportunidad de su aprobación.</w:t>
      </w:r>
    </w:p>
    <w:tbl>
      <w:tblPr>
        <w:tblStyle w:val="Tablaconcuadrcula"/>
        <w:tblW w:w="0" w:type="auto"/>
        <w:tblLook w:val="04A0" w:firstRow="1" w:lastRow="0" w:firstColumn="1" w:lastColumn="0" w:noHBand="0" w:noVBand="1"/>
      </w:tblPr>
      <w:tblGrid>
        <w:gridCol w:w="9629"/>
      </w:tblGrid>
      <w:tr w:rsidR="00D240CF" w:rsidRPr="005E3E71" w14:paraId="5DD0499A" w14:textId="77777777">
        <w:tc>
          <w:tcPr>
            <w:tcW w:w="9629" w:type="dxa"/>
          </w:tcPr>
          <w:p w14:paraId="4680FF55" w14:textId="007ED063" w:rsidR="00D240CF" w:rsidRDefault="00D240CF">
            <w:pPr>
              <w:spacing w:before="160" w:after="160"/>
              <w:jc w:val="both"/>
              <w:rPr>
                <w:rFonts w:ascii="Arial" w:eastAsia="Arial" w:hAnsi="Arial" w:cs="Arial"/>
                <w:lang w:val="es-ES"/>
              </w:rPr>
            </w:pPr>
            <w:r w:rsidRPr="00A52E4F">
              <w:rPr>
                <w:rFonts w:ascii="Arial" w:eastAsia="Arial" w:hAnsi="Arial" w:cs="Arial"/>
                <w:lang w:val="es-ES"/>
              </w:rPr>
              <w:t xml:space="preserve">La aprobación de esta norma resulta necesaria para transponer al ordenamiento jurídico español las modificaciones introducidas en la BRRD y en la DGSD por las directivas modificativas que conforman el paquete CMDI, garantizando su correcta aplicación y la coherencia del marco nacional con el derecho de la Unión Europea. Esta adaptación permite actualizar el régimen de gestión de crisis bancarias y de protección de depositantes, reforzando la seguridad jurídica y evitando divergencias regulatorias, al tiempo que ofrece la oportunidad de incorporar determinadas opciones y márgenes de discrecionalidad nacional previstos en la normativa europea que pueden contribuir a mejorar la eficacia de los instrumentos de gestión de crisis, adaptándolos a las características del sistema financiero español y facilitando una aplicación más proporcionada y eficiente del marco de resolución y liquidación. </w:t>
            </w:r>
          </w:p>
        </w:tc>
      </w:tr>
    </w:tbl>
    <w:p w14:paraId="1AA47E1A" w14:textId="77777777" w:rsidR="00D240CF" w:rsidRDefault="00D240CF" w:rsidP="00D240CF">
      <w:pPr>
        <w:spacing w:before="160" w:after="160"/>
        <w:jc w:val="both"/>
        <w:rPr>
          <w:rFonts w:ascii="Arial" w:eastAsia="Arial" w:hAnsi="Arial" w:cs="Arial"/>
          <w:lang w:val="es-ES"/>
        </w:rPr>
      </w:pPr>
    </w:p>
    <w:p w14:paraId="3386672A" w14:textId="77777777" w:rsidR="00D240CF" w:rsidRPr="00547AF4" w:rsidRDefault="00D240CF" w:rsidP="00D240CF">
      <w:pPr>
        <w:pStyle w:val="Ttulo1"/>
        <w:numPr>
          <w:ilvl w:val="0"/>
          <w:numId w:val="5"/>
        </w:numPr>
        <w:spacing w:before="160" w:after="160"/>
        <w:ind w:left="357" w:hanging="357"/>
        <w:jc w:val="both"/>
        <w:rPr>
          <w:rFonts w:ascii="Arial" w:hAnsi="Arial" w:cs="Arial"/>
          <w:b/>
          <w:bCs/>
          <w:color w:val="auto"/>
          <w:sz w:val="22"/>
          <w:szCs w:val="22"/>
        </w:rPr>
      </w:pPr>
      <w:r w:rsidRPr="00547AF4">
        <w:rPr>
          <w:rFonts w:ascii="Arial" w:hAnsi="Arial" w:cs="Arial"/>
          <w:b/>
          <w:bCs/>
          <w:color w:val="auto"/>
          <w:sz w:val="22"/>
          <w:szCs w:val="22"/>
        </w:rPr>
        <w:t>Objetivos de la norma.</w:t>
      </w:r>
    </w:p>
    <w:tbl>
      <w:tblPr>
        <w:tblStyle w:val="Tablaconcuadrcula"/>
        <w:tblW w:w="0" w:type="auto"/>
        <w:tblLook w:val="04A0" w:firstRow="1" w:lastRow="0" w:firstColumn="1" w:lastColumn="0" w:noHBand="0" w:noVBand="1"/>
      </w:tblPr>
      <w:tblGrid>
        <w:gridCol w:w="9629"/>
      </w:tblGrid>
      <w:tr w:rsidR="00D240CF" w:rsidRPr="005E3E71" w14:paraId="0DD54BF6" w14:textId="77777777">
        <w:tc>
          <w:tcPr>
            <w:tcW w:w="9629" w:type="dxa"/>
          </w:tcPr>
          <w:p w14:paraId="4630872E" w14:textId="77777777" w:rsidR="00D240CF" w:rsidRPr="001563AC" w:rsidRDefault="00D240CF">
            <w:pPr>
              <w:widowControl w:val="0"/>
              <w:autoSpaceDE w:val="0"/>
              <w:autoSpaceDN w:val="0"/>
              <w:spacing w:before="160" w:after="160"/>
              <w:ind w:right="209"/>
              <w:jc w:val="both"/>
              <w:rPr>
                <w:rFonts w:ascii="Arial" w:eastAsia="Arial" w:hAnsi="Arial" w:cs="Arial"/>
                <w:lang w:val="es-ES"/>
              </w:rPr>
            </w:pPr>
            <w:r w:rsidRPr="001563AC">
              <w:rPr>
                <w:rFonts w:ascii="Arial" w:eastAsia="Arial" w:hAnsi="Arial" w:cs="Arial"/>
                <w:lang w:val="es-ES"/>
              </w:rPr>
              <w:t xml:space="preserve">La norma tiene por objeto transponer al ordenamiento español la reforma del marco de gestión crisis y fondos de garantía de depósitos. Esta reforma busca preservar la estabilidad financiera, minimizando el contagio y favoreciendo transferencias ordenadas del negocio cuando sea procedente. A su vez busca garantizar la protección de los depositantes, así como su acceso continuado a los depósitos.  </w:t>
            </w:r>
          </w:p>
          <w:p w14:paraId="0943EC84" w14:textId="5F9E7EE6" w:rsidR="00D240CF" w:rsidRDefault="00D240CF">
            <w:pPr>
              <w:widowControl w:val="0"/>
              <w:autoSpaceDE w:val="0"/>
              <w:autoSpaceDN w:val="0"/>
              <w:spacing w:before="160" w:after="160"/>
              <w:ind w:right="209"/>
              <w:jc w:val="both"/>
              <w:rPr>
                <w:rFonts w:ascii="Arial" w:eastAsia="Arial" w:hAnsi="Arial" w:cs="Arial"/>
                <w:lang w:val="es-ES"/>
              </w:rPr>
            </w:pPr>
            <w:r w:rsidRPr="001563AC">
              <w:rPr>
                <w:rFonts w:ascii="Arial" w:eastAsia="Arial" w:hAnsi="Arial" w:cs="Arial"/>
                <w:lang w:val="es-ES"/>
              </w:rPr>
              <w:t xml:space="preserve">Por otro lado, y de cara a garantizar una adecuada transición a la armonización y la culminación de la unión bancaria, contribuye a mejorar la previsibilidad y transparencia, así como criterios claros, procedimientos de decisión documentados y la publicidad, de modo que sea compatible con la gestión de crisis. </w:t>
            </w:r>
          </w:p>
        </w:tc>
      </w:tr>
    </w:tbl>
    <w:p w14:paraId="4ACFE532" w14:textId="77777777" w:rsidR="00D240CF" w:rsidRDefault="00D240CF" w:rsidP="00D240CF">
      <w:pPr>
        <w:widowControl w:val="0"/>
        <w:autoSpaceDE w:val="0"/>
        <w:autoSpaceDN w:val="0"/>
        <w:spacing w:before="160" w:after="160"/>
        <w:ind w:right="209"/>
        <w:jc w:val="both"/>
        <w:rPr>
          <w:rFonts w:ascii="Arial" w:eastAsia="Arial" w:hAnsi="Arial" w:cs="Arial"/>
          <w:lang w:val="es-ES"/>
        </w:rPr>
      </w:pPr>
    </w:p>
    <w:p w14:paraId="24989E49" w14:textId="77777777" w:rsidR="00D240CF" w:rsidRPr="008548CD" w:rsidRDefault="00D240CF" w:rsidP="00D240CF">
      <w:pPr>
        <w:pStyle w:val="Ttulo1"/>
        <w:numPr>
          <w:ilvl w:val="0"/>
          <w:numId w:val="5"/>
        </w:numPr>
        <w:spacing w:before="160" w:after="160"/>
        <w:ind w:left="357" w:hanging="357"/>
        <w:jc w:val="both"/>
        <w:rPr>
          <w:rFonts w:ascii="Arial" w:hAnsi="Arial" w:cs="Arial"/>
          <w:b/>
          <w:bCs/>
          <w:color w:val="auto"/>
          <w:sz w:val="22"/>
          <w:szCs w:val="22"/>
          <w:lang w:val="es-ES"/>
        </w:rPr>
      </w:pPr>
      <w:r w:rsidRPr="008548CD">
        <w:rPr>
          <w:rFonts w:ascii="Arial" w:hAnsi="Arial" w:cs="Arial"/>
          <w:b/>
          <w:bCs/>
          <w:color w:val="auto"/>
          <w:sz w:val="22"/>
          <w:szCs w:val="22"/>
          <w:lang w:val="es-ES"/>
        </w:rPr>
        <w:t xml:space="preserve">Posibles soluciones alternativas, regulatorias y no regulatorias. </w:t>
      </w:r>
    </w:p>
    <w:tbl>
      <w:tblPr>
        <w:tblStyle w:val="Tablaconcuadrcula"/>
        <w:tblW w:w="0" w:type="auto"/>
        <w:tblLook w:val="04A0" w:firstRow="1" w:lastRow="0" w:firstColumn="1" w:lastColumn="0" w:noHBand="0" w:noVBand="1"/>
      </w:tblPr>
      <w:tblGrid>
        <w:gridCol w:w="9629"/>
      </w:tblGrid>
      <w:tr w:rsidR="00D240CF" w:rsidRPr="005E3E71" w14:paraId="419A549C" w14:textId="77777777">
        <w:tc>
          <w:tcPr>
            <w:tcW w:w="9629" w:type="dxa"/>
          </w:tcPr>
          <w:p w14:paraId="0DFD184F" w14:textId="50462847" w:rsidR="00D240CF" w:rsidRDefault="00D240CF">
            <w:pPr>
              <w:spacing w:before="160" w:after="160"/>
              <w:jc w:val="both"/>
              <w:rPr>
                <w:rFonts w:ascii="Arial" w:eastAsia="Arial" w:hAnsi="Arial" w:cs="Arial"/>
                <w:lang w:val="es-ES"/>
              </w:rPr>
            </w:pPr>
            <w:r w:rsidRPr="00A32BAA">
              <w:rPr>
                <w:rFonts w:ascii="Arial" w:eastAsia="Arial" w:hAnsi="Arial" w:cs="Arial"/>
                <w:lang w:val="es-ES"/>
              </w:rPr>
              <w:t>Dado que se trata de una trasposición, las diferentes alternativas nacionales que prevé el legislador nacional son el objeto principal de esta consulta pública. Se destaca que no existen alternativas no regulatorias, y que</w:t>
            </w:r>
            <w:r w:rsidR="009555D3">
              <w:rPr>
                <w:rFonts w:ascii="Arial" w:eastAsia="Arial" w:hAnsi="Arial" w:cs="Arial"/>
                <w:lang w:val="es-ES"/>
              </w:rPr>
              <w:t>,</w:t>
            </w:r>
            <w:r w:rsidRPr="00A32BAA">
              <w:rPr>
                <w:rFonts w:ascii="Arial" w:eastAsia="Arial" w:hAnsi="Arial" w:cs="Arial"/>
                <w:lang w:val="es-ES"/>
              </w:rPr>
              <w:t xml:space="preserve"> en todo caso, pasan por una modificación tanto de la Ley 11/2015, de 18 de junio, como del Real Decreto-ley 16/2011, de 14 de octubre. </w:t>
            </w:r>
          </w:p>
        </w:tc>
      </w:tr>
    </w:tbl>
    <w:p w14:paraId="58ACAA34" w14:textId="77777777" w:rsidR="00D240CF" w:rsidRPr="006475D8" w:rsidRDefault="00D240CF" w:rsidP="00D240CF">
      <w:pPr>
        <w:pStyle w:val="Textoindependiente"/>
        <w:spacing w:line="276" w:lineRule="auto"/>
        <w:ind w:right="397"/>
        <w:jc w:val="both"/>
      </w:pPr>
    </w:p>
    <w:p w14:paraId="730A7C4E" w14:textId="77777777" w:rsidR="00D240CF" w:rsidRDefault="00D240CF" w:rsidP="00D240CF">
      <w:pPr>
        <w:pStyle w:val="Ttulo1"/>
        <w:spacing w:before="160" w:after="160"/>
        <w:jc w:val="both"/>
        <w:rPr>
          <w:rFonts w:ascii="Arial" w:hAnsi="Arial" w:cs="Arial"/>
          <w:b/>
          <w:bCs/>
          <w:color w:val="auto"/>
          <w:sz w:val="22"/>
          <w:szCs w:val="22"/>
          <w:lang w:val="es-ES"/>
        </w:rPr>
      </w:pPr>
      <w:r w:rsidRPr="00D8144C">
        <w:rPr>
          <w:rFonts w:ascii="Arial" w:hAnsi="Arial" w:cs="Arial"/>
          <w:b/>
          <w:bCs/>
          <w:color w:val="auto"/>
          <w:sz w:val="22"/>
          <w:szCs w:val="22"/>
          <w:lang w:val="es-ES"/>
        </w:rPr>
        <w:t>Preguntas relativas a la cuenta de ahorro e inversión</w:t>
      </w:r>
    </w:p>
    <w:p w14:paraId="744FC05B" w14:textId="77777777" w:rsidR="00D240CF" w:rsidRPr="00D73597" w:rsidRDefault="00D240CF" w:rsidP="00D240CF">
      <w:pPr>
        <w:keepNext/>
        <w:keepLines/>
        <w:widowControl w:val="0"/>
        <w:numPr>
          <w:ilvl w:val="0"/>
          <w:numId w:val="30"/>
        </w:numPr>
        <w:tabs>
          <w:tab w:val="num" w:pos="720"/>
        </w:tabs>
        <w:autoSpaceDE w:val="0"/>
        <w:autoSpaceDN w:val="0"/>
        <w:spacing w:before="160" w:after="160"/>
        <w:jc w:val="both"/>
        <w:outlineLvl w:val="0"/>
        <w:rPr>
          <w:rFonts w:ascii="Arial" w:hAnsi="Arial" w:cs="Arial"/>
          <w:b/>
          <w:lang w:val="es-ES"/>
        </w:rPr>
      </w:pPr>
      <w:r w:rsidRPr="00D73597">
        <w:rPr>
          <w:rFonts w:ascii="Arial" w:hAnsi="Arial" w:cs="Arial"/>
          <w:b/>
          <w:lang w:val="es-ES"/>
        </w:rPr>
        <w:t>Protección de determinados tipos de depósitos</w:t>
      </w:r>
    </w:p>
    <w:tbl>
      <w:tblPr>
        <w:tblStyle w:val="Tablaconcuadrcula"/>
        <w:tblW w:w="0" w:type="auto"/>
        <w:tblLook w:val="04A0" w:firstRow="1" w:lastRow="0" w:firstColumn="1" w:lastColumn="0" w:noHBand="0" w:noVBand="1"/>
      </w:tblPr>
      <w:tblGrid>
        <w:gridCol w:w="9629"/>
      </w:tblGrid>
      <w:tr w:rsidR="00D240CF" w:rsidRPr="00765F1C" w14:paraId="449122F7" w14:textId="77777777">
        <w:tc>
          <w:tcPr>
            <w:tcW w:w="9629" w:type="dxa"/>
          </w:tcPr>
          <w:p w14:paraId="3293655C"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El artículo 5.2 de la DGSD, en su redacción dada por la Directiva 804/2026, del Parlamento Europeo y del Consejo, de 30 de marzo de 2026, permite a los Estados miembros optar por incluir dentro del ámbito de protección del FGD los depósitos mantenidos por regímenes de pensión personales y por regímenes de pensión profesionales de pequeñas y medianas empresas. Esta opción nacional responde a la diversidad de los sistemas de previsión complementaria existentes en los distintos Estados miembros y a su estrecha vinculación con las políticas nacionales de ahorro a largo plazo.</w:t>
            </w:r>
          </w:p>
          <w:p w14:paraId="5BA44F77"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En el contexto actual, caracterizado por el impulso público al desarrollo de regímenes de pensión profesionales para pequeñas y medianas empresas, resulta oportuno evaluar la conveniencia de ejercer esta opción, teniendo en cuenta que su aplicación podría reforzar la confianza de los partícipes y beneficiarios, pero también implica ajustes operativos y prudenciales para el sistema de garantía de depósitos, en particular en materia de criterios de elegibilidad, identificación y trazabilidad de los depósitos cubiertos, así como del régimen de contribuciones de las entidades de crédito.</w:t>
            </w:r>
          </w:p>
          <w:p w14:paraId="4989684A"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Con el fin de recabar aportaciones técnicas y valorar adecuadamente los efectos de esta posible decisión, se plantean las siguientes cuestiones para consulta pública.</w:t>
            </w:r>
          </w:p>
          <w:p w14:paraId="3772B37A"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 xml:space="preserve">1.1 ¿Considera adecuado incluir los depósitos mantenidos por regímenes de pensión personales y/o regímenes de pensión profesionales de pymes dentro de la cobertura del FGD? </w:t>
            </w:r>
          </w:p>
          <w:p w14:paraId="465C2BEE" w14:textId="77777777" w:rsidR="00D240CF" w:rsidRPr="00D73597" w:rsidRDefault="00D240CF" w:rsidP="002A4593">
            <w:pPr>
              <w:tabs>
                <w:tab w:val="num" w:pos="720"/>
              </w:tabs>
              <w:spacing w:before="160" w:after="240"/>
              <w:jc w:val="both"/>
              <w:rPr>
                <w:rFonts w:ascii="Arial" w:hAnsi="Arial" w:cs="Arial"/>
                <w:lang w:val="es-ES"/>
              </w:rPr>
            </w:pPr>
            <w:r w:rsidRPr="00D73597">
              <w:rPr>
                <w:rFonts w:ascii="Arial" w:hAnsi="Arial" w:cs="Arial"/>
                <w:lang w:val="es-ES"/>
              </w:rPr>
              <w:t xml:space="preserve">Respuesta: </w:t>
            </w:r>
            <w:sdt>
              <w:sdtPr>
                <w:rPr>
                  <w:rFonts w:ascii="Arial" w:hAnsi="Arial" w:cs="Arial"/>
                </w:rPr>
                <w:id w:val="628209620"/>
                <w:placeholder>
                  <w:docPart w:val="5E2D748EC3E943FE8C862CC45905CE23"/>
                </w:placeholder>
                <w:showingPlcHdr/>
                <w:dropDownList>
                  <w:listItem w:value="Elija un elemento."/>
                  <w:listItem w:displayText="Sí" w:value="Sí"/>
                  <w:listItem w:displayText="No" w:value="No"/>
                </w:dropDownList>
              </w:sdtPr>
              <w:sdtContent>
                <w:r w:rsidRPr="00D73597">
                  <w:rPr>
                    <w:rStyle w:val="Textodelmarcadordeposicin"/>
                    <w:lang w:val="es-ES"/>
                  </w:rPr>
                  <w:t>Elija un elemento.</w:t>
                </w:r>
              </w:sdtContent>
            </w:sdt>
            <w:r w:rsidRPr="00D73597">
              <w:rPr>
                <w:rFonts w:ascii="Arial" w:hAnsi="Arial" w:cs="Arial"/>
                <w:lang w:val="es-ES"/>
              </w:rPr>
              <w:t xml:space="preserve"> </w:t>
            </w:r>
          </w:p>
          <w:p w14:paraId="590E36C8"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1.2 En caso de optar por la inclusión, ¿qué condiciones adicionales (límites, requisitos de información, segregación de cuentas u otros) deberían considerarse para mitigar riesgos y garantizar una aplicación proporcionada?</w:t>
            </w:r>
          </w:p>
          <w:sdt>
            <w:sdtPr>
              <w:rPr>
                <w:rFonts w:ascii="Arial" w:hAnsi="Arial" w:cs="Arial"/>
              </w:rPr>
              <w:id w:val="652647357"/>
              <w:placeholder>
                <w:docPart w:val="EF0A44EBEF204BDA830C9D6C3841974B"/>
              </w:placeholder>
              <w:showingPlcHdr/>
            </w:sdtPr>
            <w:sdtContent>
              <w:p w14:paraId="11587106" w14:textId="77777777" w:rsidR="00D240CF" w:rsidRPr="00D73597" w:rsidRDefault="00D240CF" w:rsidP="002A4593">
                <w:pPr>
                  <w:spacing w:before="160" w:after="240"/>
                  <w:jc w:val="both"/>
                  <w:rPr>
                    <w:rFonts w:ascii="Arial" w:hAnsi="Arial" w:cs="Arial"/>
                    <w:lang w:val="es-ES"/>
                  </w:rPr>
                </w:pPr>
                <w:r w:rsidRPr="00D73597">
                  <w:rPr>
                    <w:rStyle w:val="Textodelmarcadordeposicin"/>
                    <w:lang w:val="es-ES"/>
                  </w:rPr>
                  <w:t>Haga clic o pulse aquí para escribir texto.</w:t>
                </w:r>
              </w:p>
            </w:sdtContent>
          </w:sdt>
          <w:p w14:paraId="08F4A8E8"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1.3 ¿Procede establecer contribuciones diferenciadas o moduladas por riesgo para las entidades con mayor volumen de estos depósitos?</w:t>
            </w:r>
          </w:p>
          <w:p w14:paraId="2D0088D3" w14:textId="77777777" w:rsidR="00D240CF" w:rsidRDefault="00D240CF" w:rsidP="002A4593">
            <w:pPr>
              <w:tabs>
                <w:tab w:val="num" w:pos="720"/>
              </w:tabs>
              <w:spacing w:before="160" w:after="240"/>
              <w:jc w:val="both"/>
              <w:rPr>
                <w:rFonts w:ascii="Arial" w:hAnsi="Arial" w:cs="Arial"/>
              </w:rPr>
            </w:pPr>
            <w:r>
              <w:rPr>
                <w:rFonts w:ascii="Arial" w:hAnsi="Arial" w:cs="Arial"/>
              </w:rPr>
              <w:t>Respuesta:</w:t>
            </w:r>
            <w:r w:rsidRPr="00DE23F0">
              <w:rPr>
                <w:rFonts w:ascii="Arial" w:hAnsi="Arial" w:cs="Arial"/>
              </w:rPr>
              <w:t xml:space="preserve"> </w:t>
            </w:r>
            <w:sdt>
              <w:sdtPr>
                <w:rPr>
                  <w:rFonts w:ascii="Arial" w:hAnsi="Arial" w:cs="Arial"/>
                </w:rPr>
                <w:id w:val="-469055807"/>
                <w:placeholder>
                  <w:docPart w:val="05079C451715410AA13E177084DBBC46"/>
                </w:placeholder>
                <w:showingPlcHdr/>
                <w:dropDownList>
                  <w:listItem w:value="Elija un elemento."/>
                  <w:listItem w:displayText="Sí" w:value="Sí"/>
                  <w:listItem w:displayText="No" w:value="No"/>
                </w:dropDownList>
              </w:sdtPr>
              <w:sdtContent>
                <w:r w:rsidRPr="00601463">
                  <w:rPr>
                    <w:rStyle w:val="Textodelmarcadordeposicin"/>
                  </w:rPr>
                  <w:t>Elija un elemento.</w:t>
                </w:r>
              </w:sdtContent>
            </w:sdt>
            <w:r w:rsidRPr="00DE23F0">
              <w:rPr>
                <w:rFonts w:ascii="Arial" w:hAnsi="Arial" w:cs="Arial"/>
              </w:rPr>
              <w:t xml:space="preserve"> </w:t>
            </w:r>
          </w:p>
          <w:p w14:paraId="088DD781" w14:textId="77777777" w:rsidR="00D240CF" w:rsidRDefault="00D240CF">
            <w:pPr>
              <w:ind w:left="83"/>
              <w:rPr>
                <w:rFonts w:ascii="Arial" w:eastAsia="Arial" w:hAnsi="Arial" w:cs="Arial"/>
                <w:lang w:val="es-ES"/>
              </w:rPr>
            </w:pPr>
          </w:p>
        </w:tc>
      </w:tr>
    </w:tbl>
    <w:p w14:paraId="0EF732ED" w14:textId="77777777" w:rsidR="00D240CF" w:rsidRPr="002E1BA9" w:rsidRDefault="00D240CF" w:rsidP="00D240CF">
      <w:pPr>
        <w:rPr>
          <w:rFonts w:eastAsia="Arial"/>
          <w:lang w:val="es-ES"/>
        </w:rPr>
      </w:pPr>
    </w:p>
    <w:p w14:paraId="3C6975BB" w14:textId="77777777" w:rsidR="00D240CF" w:rsidRPr="00D73597" w:rsidRDefault="00D240CF" w:rsidP="00D240CF">
      <w:pPr>
        <w:keepNext/>
        <w:keepLines/>
        <w:widowControl w:val="0"/>
        <w:numPr>
          <w:ilvl w:val="0"/>
          <w:numId w:val="30"/>
        </w:numPr>
        <w:tabs>
          <w:tab w:val="num" w:pos="720"/>
        </w:tabs>
        <w:autoSpaceDE w:val="0"/>
        <w:autoSpaceDN w:val="0"/>
        <w:spacing w:before="160" w:after="160"/>
        <w:jc w:val="both"/>
        <w:outlineLvl w:val="0"/>
        <w:rPr>
          <w:rFonts w:ascii="Arial" w:hAnsi="Arial" w:cs="Arial"/>
          <w:b/>
          <w:lang w:val="es-ES"/>
        </w:rPr>
      </w:pPr>
      <w:r w:rsidRPr="00D73597">
        <w:rPr>
          <w:rFonts w:ascii="Arial" w:hAnsi="Arial" w:cs="Arial"/>
          <w:b/>
          <w:lang w:val="es-ES"/>
        </w:rPr>
        <w:lastRenderedPageBreak/>
        <w:t>Concepto de “corto plazo” en los depósitos destinados a la adquisición de primera vivienda por persona física</w:t>
      </w:r>
    </w:p>
    <w:tbl>
      <w:tblPr>
        <w:tblStyle w:val="Tablaconcuadrcula"/>
        <w:tblW w:w="0" w:type="auto"/>
        <w:tblLook w:val="04A0" w:firstRow="1" w:lastRow="0" w:firstColumn="1" w:lastColumn="0" w:noHBand="0" w:noVBand="1"/>
      </w:tblPr>
      <w:tblGrid>
        <w:gridCol w:w="9629"/>
      </w:tblGrid>
      <w:tr w:rsidR="00D240CF" w:rsidRPr="005E3E71" w14:paraId="75E258F0" w14:textId="77777777">
        <w:tc>
          <w:tcPr>
            <w:tcW w:w="9629" w:type="dxa"/>
          </w:tcPr>
          <w:p w14:paraId="34D65349"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 xml:space="preserve">El artículo 6 de la DGSD, regula un régimen de cobertura por importe superior a 100.000 € aplicable a determinados depósitos que, por su naturaleza, reflejan situaciones excepcionales en la esfera patrimonial del depositante. Este régimen se aplica, en particular, a los depósitos resultantes de operaciones inmobiliarias relativas a viviendas de uso residencial privado, así como a aquellos vinculados a circunstancias personales relevantes del depositante, tales como el matrimonio, el divorcio, la jubilación, el despido, la redundancia, la invalidez o el fallecimiento, y a depósitos derivados del pago de prestaciones de seguros o de indemnizaciones por daños personales, lesiones penales o condenas erróneas. </w:t>
            </w:r>
          </w:p>
          <w:p w14:paraId="1D45F4E2"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En lo que respecta a los depósitos derivados de operaciones inmobiliarias sobre viviendas de uso residencial privado, la reforma de dicho artículo 6 de la DGSD exige que para las operaciones de adquisición previstas o en curso en el momento de la declaración de inviabilidad de la entidad o declaración de concurso, los Estados miembros definan en su derecho nacional el concepto de “corto plazo”, como condición para la aplicación de la cobertura temporal reforzada. Corresponde a los Estados miembros concretar este concepto atendiendo a las prácticas del mercado inmobiliario nacional y al carácter estrictamente transitorio de estos depósitos, con el fin de evitar una extensión indebida de la protección ampliada.</w:t>
            </w:r>
          </w:p>
          <w:p w14:paraId="1FD04205"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 xml:space="preserve">Asimismo, para las transacciones inmobiliarias se permite a los Estados fijar el importe de la protección que debe estar entre 500.000 € y 2.500.000 €. Actualmente, no hay límite de importe. </w:t>
            </w:r>
          </w:p>
          <w:p w14:paraId="13816AF9"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2.1 ¿Cómo debería definirse el concepto de “corto plazo” en relación con la cobertura ampliada de depósitos derivados de transacciones inmobiliarias?</w:t>
            </w:r>
          </w:p>
          <w:sdt>
            <w:sdtPr>
              <w:rPr>
                <w:rFonts w:ascii="Arial" w:hAnsi="Arial" w:cs="Arial"/>
              </w:rPr>
              <w:id w:val="-1535262688"/>
              <w:placeholder>
                <w:docPart w:val="7330085AC0A24B2EBD7B3A9FE87F6FF5"/>
              </w:placeholder>
              <w:showingPlcHdr/>
            </w:sdtPr>
            <w:sdtContent>
              <w:p w14:paraId="66F18BED" w14:textId="77777777" w:rsidR="00D240CF" w:rsidRPr="00D73597" w:rsidRDefault="00D240CF" w:rsidP="002A4593">
                <w:pPr>
                  <w:spacing w:before="160" w:after="240"/>
                  <w:jc w:val="both"/>
                  <w:rPr>
                    <w:rFonts w:ascii="Arial" w:hAnsi="Arial" w:cs="Arial"/>
                    <w:lang w:val="es-ES"/>
                  </w:rPr>
                </w:pPr>
                <w:r w:rsidRPr="00D73597">
                  <w:rPr>
                    <w:rStyle w:val="Textodelmarcadordeposicin"/>
                    <w:lang w:val="es-ES"/>
                  </w:rPr>
                  <w:t>Haga clic o pulse aquí para escribir texto.</w:t>
                </w:r>
              </w:p>
            </w:sdtContent>
          </w:sdt>
          <w:p w14:paraId="5B91E926"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2.2 ¿Qué tipo de documentación debería utilizarse como prueba del “corto plazo”?</w:t>
            </w:r>
          </w:p>
          <w:sdt>
            <w:sdtPr>
              <w:rPr>
                <w:rFonts w:ascii="Arial" w:hAnsi="Arial" w:cs="Arial"/>
              </w:rPr>
              <w:id w:val="846987317"/>
              <w:placeholder>
                <w:docPart w:val="BB2C08A98E7E48839268319F65BCD668"/>
              </w:placeholder>
              <w:showingPlcHdr/>
            </w:sdtPr>
            <w:sdtContent>
              <w:p w14:paraId="07AA3FC8" w14:textId="77777777" w:rsidR="00D240CF" w:rsidRPr="00D73597" w:rsidRDefault="00D240CF" w:rsidP="002A4593">
                <w:pPr>
                  <w:spacing w:before="160" w:after="240"/>
                  <w:jc w:val="both"/>
                  <w:rPr>
                    <w:rFonts w:ascii="Arial" w:hAnsi="Arial" w:cs="Arial"/>
                    <w:lang w:val="es-ES"/>
                  </w:rPr>
                </w:pPr>
                <w:r w:rsidRPr="00D73597">
                  <w:rPr>
                    <w:rStyle w:val="Textodelmarcadordeposicin"/>
                    <w:lang w:val="es-ES"/>
                  </w:rPr>
                  <w:t>Haga clic o pulse aquí para escribir texto.</w:t>
                </w:r>
              </w:p>
            </w:sdtContent>
          </w:sdt>
          <w:p w14:paraId="295DA17E"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2.3 ¿Debe la protección de los depósitos vinculados a transacciones inmobiliarias ascender al máximo de 2.500.000 € o, considerando el mercado español, debería ser un importe inferior?</w:t>
            </w:r>
          </w:p>
          <w:p w14:paraId="08091D58" w14:textId="77777777" w:rsidR="00D240CF" w:rsidRPr="00D73597" w:rsidRDefault="00000000" w:rsidP="002A4593">
            <w:pPr>
              <w:spacing w:before="160" w:after="240"/>
              <w:jc w:val="both"/>
              <w:rPr>
                <w:rFonts w:ascii="Arial" w:hAnsi="Arial" w:cs="Arial"/>
                <w:lang w:val="es-ES"/>
              </w:rPr>
            </w:pPr>
            <w:sdt>
              <w:sdtPr>
                <w:rPr>
                  <w:rFonts w:ascii="Arial" w:hAnsi="Arial" w:cs="Arial"/>
                </w:rPr>
                <w:id w:val="944959003"/>
                <w:placeholder>
                  <w:docPart w:val="45FC2E23399447818FC544C820DB314F"/>
                </w:placeholder>
                <w:showingPlcHdr/>
              </w:sdtPr>
              <w:sdtContent>
                <w:r w:rsidR="00D240CF" w:rsidRPr="00D73597">
                  <w:rPr>
                    <w:rStyle w:val="Textodelmarcadordeposicin"/>
                    <w:lang w:val="es-ES"/>
                  </w:rPr>
                  <w:t>Haga clic o pulse aquí para escribir texto.</w:t>
                </w:r>
              </w:sdtContent>
            </w:sdt>
          </w:p>
          <w:p w14:paraId="60B75FC8" w14:textId="77777777" w:rsidR="00D240CF" w:rsidRPr="00D73597" w:rsidRDefault="00D240CF">
            <w:pPr>
              <w:tabs>
                <w:tab w:val="left" w:pos="6420"/>
              </w:tabs>
              <w:rPr>
                <w:rFonts w:ascii="Arial" w:eastAsia="Arial" w:hAnsi="Arial" w:cs="Arial"/>
                <w:lang w:val="es-ES"/>
              </w:rPr>
            </w:pPr>
          </w:p>
        </w:tc>
      </w:tr>
    </w:tbl>
    <w:p w14:paraId="077AF4DD" w14:textId="77777777" w:rsidR="00D240CF" w:rsidRPr="00C34075" w:rsidRDefault="00D240CF" w:rsidP="00D240CF">
      <w:pPr>
        <w:rPr>
          <w:rFonts w:eastAsia="Arial"/>
          <w:lang w:val="es-ES"/>
        </w:rPr>
      </w:pPr>
    </w:p>
    <w:p w14:paraId="13107790" w14:textId="77777777" w:rsidR="00D240CF" w:rsidRPr="00D73597" w:rsidRDefault="00D240CF" w:rsidP="00D240CF">
      <w:pPr>
        <w:keepNext/>
        <w:keepLines/>
        <w:widowControl w:val="0"/>
        <w:numPr>
          <w:ilvl w:val="0"/>
          <w:numId w:val="30"/>
        </w:numPr>
        <w:tabs>
          <w:tab w:val="num" w:pos="720"/>
        </w:tabs>
        <w:autoSpaceDE w:val="0"/>
        <w:autoSpaceDN w:val="0"/>
        <w:spacing w:before="160" w:after="160"/>
        <w:jc w:val="both"/>
        <w:outlineLvl w:val="0"/>
        <w:rPr>
          <w:rFonts w:ascii="Arial" w:hAnsi="Arial" w:cs="Arial"/>
          <w:b/>
          <w:lang w:val="es-ES"/>
        </w:rPr>
      </w:pPr>
      <w:r w:rsidRPr="00D73597">
        <w:rPr>
          <w:rFonts w:ascii="Arial" w:hAnsi="Arial" w:cs="Arial"/>
          <w:b/>
          <w:lang w:val="es-ES"/>
        </w:rPr>
        <w:t>Posibilidad de que el FGD lleve a cabo medidas alternativas a la liquidación</w:t>
      </w:r>
    </w:p>
    <w:tbl>
      <w:tblPr>
        <w:tblStyle w:val="Tablaconcuadrcula"/>
        <w:tblW w:w="0" w:type="auto"/>
        <w:tblLook w:val="04A0" w:firstRow="1" w:lastRow="0" w:firstColumn="1" w:lastColumn="0" w:noHBand="0" w:noVBand="1"/>
      </w:tblPr>
      <w:tblGrid>
        <w:gridCol w:w="9629"/>
      </w:tblGrid>
      <w:tr w:rsidR="00D240CF" w:rsidRPr="005E3E71" w14:paraId="6E7549F8" w14:textId="77777777">
        <w:tc>
          <w:tcPr>
            <w:tcW w:w="9629" w:type="dxa"/>
          </w:tcPr>
          <w:p w14:paraId="79C78868"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 xml:space="preserve">El artículo 11.5 de la DGSD permite que los fondos de garantía de depósitos utilicen sus recursos para financiar medidas alternativas en el marco de una liquidación, con el fin de preservar el acceso efectivo de los depositantes a sus depósitos. Ello permite introducir un instrumento flexible que puede resultar más eficiente que el reembolso directo, al facilitar soluciones como la transferencia de activos y pasivos o del libro de depósitos y reducir potencialmente los costes, las disrupciones operativas y los riesgos de contagio. Ahora bien, el recurso a este tipo de medidas no está exento de riesgos y posibles efectos adversos en la medida en que implica la utilización del patrimonio del FGD, principal salvaguarda para hacer frente a futuros pagos a depositantes en caso de nuevas insolvencias. Esta merma de la capacidad financiera del FGD puede incrementar la probabilidad de contribuciones extraordinarias posteriores o generar tensiones en escenarios de crisis sistémica, razón por la cual la DGSD supedita expresamente estas </w:t>
            </w:r>
            <w:r w:rsidRPr="00D73597">
              <w:rPr>
                <w:rFonts w:ascii="Arial" w:hAnsi="Arial" w:cs="Arial"/>
                <w:lang w:val="es-ES"/>
              </w:rPr>
              <w:lastRenderedPageBreak/>
              <w:t xml:space="preserve">intervenciones a determinadas condiciones y requisitos cuantitativos que actúan como salvaguardias destinadas a asegurar que la protección de los depositantes y la estabilidad financiera compensen razonablemente el riesgo asumido para la solvencia futura del propio sistema de garantía. </w:t>
            </w:r>
          </w:p>
          <w:p w14:paraId="76C8E75A"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 xml:space="preserve">Si bien este mecanismo ya estaba previsto como opción nacional en la versión original de la DGSD, la reforma de la normativa de gestión de crisis ofrece una ocasión propicia para plantear su incorporación al ordenamiento jurídico español. </w:t>
            </w:r>
          </w:p>
          <w:p w14:paraId="1460655A" w14:textId="77777777" w:rsidR="00D240CF" w:rsidRPr="00D73597" w:rsidRDefault="00D240CF">
            <w:pPr>
              <w:tabs>
                <w:tab w:val="num" w:pos="720"/>
              </w:tabs>
              <w:spacing w:before="160"/>
              <w:jc w:val="both"/>
              <w:rPr>
                <w:rFonts w:ascii="Arial" w:hAnsi="Arial" w:cs="Arial"/>
                <w:lang w:val="es-ES"/>
              </w:rPr>
            </w:pPr>
            <w:r w:rsidRPr="00D73597">
              <w:rPr>
                <w:rFonts w:ascii="Arial" w:hAnsi="Arial" w:cs="Arial"/>
                <w:lang w:val="es-ES"/>
              </w:rPr>
              <w:t xml:space="preserve">Adicionalmente, la transposición al ordenamiento español de la facultad del FGD de financiar medidas en el seno de la liquidación puede ser más efectiva si viene acompañada del diseño de un procedimiento específico de liquidación administrativa que actúe como cláusula de cierre del sistema. </w:t>
            </w:r>
          </w:p>
          <w:p w14:paraId="511CF8B3"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3.1 ¿Debe el marco español prever estas medidas alternativas (transferencias de activos y pasivos, depósito</w:t>
            </w:r>
            <w:r w:rsidRPr="00D73597">
              <w:rPr>
                <w:rFonts w:ascii="Arial" w:hAnsi="Arial" w:cs="Arial"/>
                <w:b/>
                <w:lang w:val="es-ES"/>
              </w:rPr>
              <w:noBreakHyphen/>
              <w:t>book transfer, etc.)?</w:t>
            </w:r>
          </w:p>
          <w:p w14:paraId="5F7DBE0C" w14:textId="77777777" w:rsidR="00D240CF" w:rsidRPr="00D73597" w:rsidRDefault="00D240CF" w:rsidP="002A4593">
            <w:pPr>
              <w:tabs>
                <w:tab w:val="num" w:pos="720"/>
              </w:tabs>
              <w:spacing w:before="160" w:after="240"/>
              <w:jc w:val="both"/>
              <w:rPr>
                <w:rFonts w:ascii="Arial" w:hAnsi="Arial" w:cs="Arial"/>
                <w:lang w:val="es-ES"/>
              </w:rPr>
            </w:pPr>
            <w:r w:rsidRPr="00D73597">
              <w:rPr>
                <w:rFonts w:ascii="Arial" w:hAnsi="Arial" w:cs="Arial"/>
                <w:lang w:val="es-ES"/>
              </w:rPr>
              <w:t xml:space="preserve">Respuesta: </w:t>
            </w:r>
            <w:sdt>
              <w:sdtPr>
                <w:rPr>
                  <w:rFonts w:ascii="Arial" w:hAnsi="Arial" w:cs="Arial"/>
                </w:rPr>
                <w:id w:val="1174912643"/>
                <w:placeholder>
                  <w:docPart w:val="406FAAFE87C04A07931316F942EDF058"/>
                </w:placeholder>
                <w:showingPlcHdr/>
                <w:dropDownList>
                  <w:listItem w:value="Elija un elemento."/>
                  <w:listItem w:displayText="Sí" w:value="Sí"/>
                  <w:listItem w:displayText="No" w:value="No"/>
                </w:dropDownList>
              </w:sdtPr>
              <w:sdtContent>
                <w:r w:rsidRPr="00D73597">
                  <w:rPr>
                    <w:rStyle w:val="Textodelmarcadordeposicin"/>
                    <w:lang w:val="es-ES"/>
                  </w:rPr>
                  <w:t>Elija un elemento.</w:t>
                </w:r>
              </w:sdtContent>
            </w:sdt>
            <w:r w:rsidRPr="00D73597">
              <w:rPr>
                <w:rFonts w:ascii="Arial" w:hAnsi="Arial" w:cs="Arial"/>
                <w:lang w:val="es-ES"/>
              </w:rPr>
              <w:t xml:space="preserve"> </w:t>
            </w:r>
          </w:p>
          <w:p w14:paraId="75F0B616" w14:textId="77777777" w:rsidR="00D240CF" w:rsidRPr="00D73597" w:rsidRDefault="00D240CF" w:rsidP="002A4593">
            <w:pPr>
              <w:spacing w:before="160" w:after="240"/>
              <w:jc w:val="both"/>
              <w:rPr>
                <w:rFonts w:ascii="Arial" w:hAnsi="Arial" w:cs="Arial"/>
                <w:lang w:val="es-ES"/>
              </w:rPr>
            </w:pPr>
            <w:r w:rsidRPr="00D73597">
              <w:rPr>
                <w:rFonts w:ascii="Arial" w:hAnsi="Arial" w:cs="Arial"/>
                <w:lang w:val="es-ES"/>
              </w:rPr>
              <w:t xml:space="preserve">En caso de Sí, señale cuáles: </w:t>
            </w:r>
            <w:sdt>
              <w:sdtPr>
                <w:rPr>
                  <w:rFonts w:ascii="Arial" w:hAnsi="Arial" w:cs="Arial"/>
                </w:rPr>
                <w:id w:val="-448702776"/>
                <w:placeholder>
                  <w:docPart w:val="CC9694A6455C4976A543485FD366229B"/>
                </w:placeholder>
                <w:showingPlcHdr/>
              </w:sdtPr>
              <w:sdtContent>
                <w:r w:rsidRPr="00D73597">
                  <w:rPr>
                    <w:rStyle w:val="Textodelmarcadordeposicin"/>
                    <w:lang w:val="es-ES"/>
                  </w:rPr>
                  <w:t>Haga clic o pulse aquí para escribir texto.</w:t>
                </w:r>
              </w:sdtContent>
            </w:sdt>
          </w:p>
          <w:p w14:paraId="2E866121" w14:textId="77777777" w:rsidR="00D240CF" w:rsidRPr="00D73597" w:rsidRDefault="00D240CF" w:rsidP="002A4593">
            <w:pPr>
              <w:keepNext/>
              <w:keepLines/>
              <w:widowControl w:val="0"/>
              <w:tabs>
                <w:tab w:val="num" w:pos="720"/>
              </w:tabs>
              <w:autoSpaceDE w:val="0"/>
              <w:autoSpaceDN w:val="0"/>
              <w:spacing w:before="160" w:after="240"/>
              <w:jc w:val="both"/>
              <w:outlineLvl w:val="0"/>
              <w:rPr>
                <w:rFonts w:ascii="Arial" w:hAnsi="Arial" w:cs="Arial"/>
                <w:b/>
                <w:lang w:val="es-ES"/>
              </w:rPr>
            </w:pPr>
            <w:r w:rsidRPr="00D73597">
              <w:rPr>
                <w:rFonts w:ascii="Arial" w:hAnsi="Arial" w:cs="Arial"/>
                <w:b/>
                <w:lang w:val="es-ES"/>
              </w:rPr>
              <w:t>3.2 ¿El procedimiento concursal español permitiría la ejecución eficaz de las medidas alternativas previstas en el artículo 11.5 DGSD, o sería necesario introducir ajustes o mecanismos específicos para facilitar su implementación?</w:t>
            </w:r>
          </w:p>
          <w:p w14:paraId="744901A2" w14:textId="77777777" w:rsidR="00D240CF" w:rsidRPr="00D73597" w:rsidRDefault="00000000" w:rsidP="002A4593">
            <w:pPr>
              <w:spacing w:before="160" w:after="240"/>
              <w:jc w:val="both"/>
              <w:rPr>
                <w:rFonts w:ascii="Arial" w:hAnsi="Arial" w:cs="Arial"/>
                <w:lang w:val="es-ES"/>
              </w:rPr>
            </w:pPr>
            <w:sdt>
              <w:sdtPr>
                <w:rPr>
                  <w:rFonts w:ascii="Arial" w:hAnsi="Arial" w:cs="Arial"/>
                </w:rPr>
                <w:id w:val="-1024709763"/>
                <w:placeholder>
                  <w:docPart w:val="C719B204C481486E94D65DF07C02B9C1"/>
                </w:placeholder>
                <w:showingPlcHdr/>
              </w:sdtPr>
              <w:sdtContent>
                <w:r w:rsidR="00D240CF" w:rsidRPr="00D73597">
                  <w:rPr>
                    <w:rStyle w:val="Textodelmarcadordeposicin"/>
                    <w:lang w:val="es-ES"/>
                  </w:rPr>
                  <w:t>Haga clic o pulse aquí para escribir texto.</w:t>
                </w:r>
              </w:sdtContent>
            </w:sdt>
          </w:p>
          <w:p w14:paraId="2FD08B1B" w14:textId="77777777" w:rsidR="00D240CF" w:rsidRDefault="00D240CF">
            <w:pPr>
              <w:rPr>
                <w:rFonts w:ascii="Arial" w:eastAsia="Arial" w:hAnsi="Arial" w:cs="Arial"/>
                <w:lang w:val="es-ES"/>
              </w:rPr>
            </w:pPr>
          </w:p>
        </w:tc>
      </w:tr>
    </w:tbl>
    <w:p w14:paraId="24A3B405" w14:textId="77777777" w:rsidR="00D240CF" w:rsidRPr="00C34075" w:rsidRDefault="00D240CF" w:rsidP="00D240CF">
      <w:pPr>
        <w:rPr>
          <w:rFonts w:eastAsia="Arial"/>
          <w:lang w:val="es-ES"/>
        </w:rPr>
      </w:pPr>
    </w:p>
    <w:p w14:paraId="373DE049" w14:textId="77777777" w:rsidR="00D240CF" w:rsidRPr="00D73597" w:rsidRDefault="00D240CF" w:rsidP="00D240CF">
      <w:pPr>
        <w:pStyle w:val="Prrafodelista"/>
        <w:keepNext/>
        <w:keepLines/>
        <w:widowControl w:val="0"/>
        <w:numPr>
          <w:ilvl w:val="0"/>
          <w:numId w:val="30"/>
        </w:numPr>
        <w:autoSpaceDE w:val="0"/>
        <w:autoSpaceDN w:val="0"/>
        <w:spacing w:before="160" w:after="160"/>
        <w:jc w:val="both"/>
        <w:outlineLvl w:val="0"/>
        <w:rPr>
          <w:rFonts w:ascii="Arial" w:hAnsi="Arial" w:cs="Arial"/>
          <w:b/>
          <w:lang w:val="es-ES"/>
        </w:rPr>
      </w:pPr>
      <w:r w:rsidRPr="00D73597">
        <w:rPr>
          <w:rFonts w:ascii="Arial" w:hAnsi="Arial" w:cs="Arial"/>
          <w:b/>
          <w:lang w:val="es-ES"/>
        </w:rPr>
        <w:t>Otros: ¿Existe otra previsión de la reforma planteada del marco CMDI o de la regulación actual que considere deban reforzarse?</w:t>
      </w:r>
    </w:p>
    <w:tbl>
      <w:tblPr>
        <w:tblStyle w:val="Tablaconcuadrcula"/>
        <w:tblW w:w="0" w:type="auto"/>
        <w:tblLook w:val="04A0" w:firstRow="1" w:lastRow="0" w:firstColumn="1" w:lastColumn="0" w:noHBand="0" w:noVBand="1"/>
      </w:tblPr>
      <w:tblGrid>
        <w:gridCol w:w="9629"/>
      </w:tblGrid>
      <w:tr w:rsidR="00D240CF" w:rsidRPr="005E3E71" w14:paraId="3D2BA066" w14:textId="77777777">
        <w:tc>
          <w:tcPr>
            <w:tcW w:w="9629" w:type="dxa"/>
          </w:tcPr>
          <w:p w14:paraId="5BD21A66" w14:textId="77777777" w:rsidR="00D240CF" w:rsidRPr="009822A3" w:rsidRDefault="00000000" w:rsidP="002A4593">
            <w:pPr>
              <w:spacing w:before="240"/>
              <w:rPr>
                <w:rFonts w:ascii="Arial" w:eastAsia="Arial" w:hAnsi="Arial" w:cs="Arial"/>
                <w:lang w:val="es-ES"/>
              </w:rPr>
            </w:pPr>
            <w:sdt>
              <w:sdtPr>
                <w:rPr>
                  <w:rFonts w:ascii="Arial" w:eastAsia="Arial" w:hAnsi="Arial" w:cs="Arial"/>
                  <w:lang w:val="es-ES"/>
                </w:rPr>
                <w:id w:val="-1455634133"/>
                <w:placeholder>
                  <w:docPart w:val="F7247857997E410582A76681958B703F"/>
                </w:placeholder>
                <w:showingPlcHdr/>
              </w:sdtPr>
              <w:sdtContent>
                <w:r w:rsidR="00D240CF" w:rsidRPr="005E0653">
                  <w:rPr>
                    <w:rStyle w:val="Textodelmarcadordeposicin"/>
                    <w:rFonts w:eastAsiaTheme="minorHAnsi"/>
                    <w:lang w:val="es-ES"/>
                  </w:rPr>
                  <w:t>Haga clic o pulse aquí para escribir texto.</w:t>
                </w:r>
              </w:sdtContent>
            </w:sdt>
          </w:p>
          <w:p w14:paraId="264B98A4" w14:textId="77777777" w:rsidR="00D240CF" w:rsidRPr="00A82376" w:rsidRDefault="00D240CF">
            <w:pPr>
              <w:rPr>
                <w:rFonts w:ascii="Arial" w:eastAsia="Arial" w:hAnsi="Arial" w:cs="Arial"/>
                <w:lang w:val="es-ES"/>
              </w:rPr>
            </w:pPr>
          </w:p>
        </w:tc>
      </w:tr>
    </w:tbl>
    <w:p w14:paraId="4DB53435" w14:textId="77777777" w:rsidR="00D240CF" w:rsidRPr="002827BD" w:rsidRDefault="00D240CF" w:rsidP="00D240CF">
      <w:pPr>
        <w:rPr>
          <w:rFonts w:eastAsia="Arial"/>
          <w:lang w:val="es-ES"/>
        </w:rPr>
      </w:pPr>
    </w:p>
    <w:p w14:paraId="00171B67" w14:textId="77777777" w:rsidR="00957606" w:rsidRPr="00D240CF" w:rsidRDefault="00957606" w:rsidP="00D240CF">
      <w:pPr>
        <w:rPr>
          <w:lang w:val="es-ES"/>
        </w:rPr>
      </w:pPr>
    </w:p>
    <w:sectPr w:rsidR="00957606" w:rsidRPr="00D240CF" w:rsidSect="007C2B43">
      <w:headerReference w:type="default" r:id="rId12"/>
      <w:type w:val="continuous"/>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FCF07" w14:textId="77777777" w:rsidR="00F17472" w:rsidRDefault="00F17472" w:rsidP="000309AC">
      <w:r>
        <w:separator/>
      </w:r>
    </w:p>
  </w:endnote>
  <w:endnote w:type="continuationSeparator" w:id="0">
    <w:p w14:paraId="67698F1B" w14:textId="77777777" w:rsidR="00F17472" w:rsidRDefault="00F17472" w:rsidP="0003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433CC" w14:textId="77777777" w:rsidR="00F17472" w:rsidRDefault="00F17472" w:rsidP="000309AC">
      <w:r>
        <w:separator/>
      </w:r>
    </w:p>
  </w:footnote>
  <w:footnote w:type="continuationSeparator" w:id="0">
    <w:p w14:paraId="6441D0E2" w14:textId="77777777" w:rsidR="00F17472" w:rsidRDefault="00F17472" w:rsidP="0003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DCC1" w14:textId="10714BC4" w:rsidR="000309AC" w:rsidRDefault="001956E9" w:rsidP="000309AC">
    <w:pPr>
      <w:tabs>
        <w:tab w:val="left" w:pos="4270"/>
        <w:tab w:val="left" w:pos="10490"/>
      </w:tabs>
      <w:ind w:right="-24"/>
      <w:rPr>
        <w:rFonts w:ascii="Arial" w:hAnsi="Arial" w:cs="Arial"/>
        <w:color w:val="808080" w:themeColor="background1" w:themeShade="80"/>
        <w:sz w:val="16"/>
        <w:szCs w:val="16"/>
      </w:rPr>
    </w:pPr>
    <w:r w:rsidRPr="00A36AAE">
      <w:rPr>
        <w:rFonts w:ascii="Arial" w:hAnsi="Arial" w:cs="Arial"/>
        <w:noProof/>
        <w:color w:val="808080" w:themeColor="background1" w:themeShade="80"/>
        <w:sz w:val="16"/>
        <w:szCs w:val="16"/>
        <w:lang w:val="es-ES" w:eastAsia="es-ES"/>
      </w:rPr>
      <mc:AlternateContent>
        <mc:Choice Requires="wps">
          <w:drawing>
            <wp:anchor distT="0" distB="0" distL="114300" distR="114300" simplePos="0" relativeHeight="251658240" behindDoc="0" locked="0" layoutInCell="1" allowOverlap="1" wp14:anchorId="76369927" wp14:editId="2863BA29">
              <wp:simplePos x="0" y="0"/>
              <wp:positionH relativeFrom="column">
                <wp:posOffset>599752</wp:posOffset>
              </wp:positionH>
              <wp:positionV relativeFrom="paragraph">
                <wp:posOffset>2264</wp:posOffset>
              </wp:positionV>
              <wp:extent cx="2139351" cy="633095"/>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51" cy="633095"/>
                      </a:xfrm>
                      <a:prstGeom prst="rect">
                        <a:avLst/>
                      </a:prstGeom>
                      <a:solidFill>
                        <a:srgbClr val="FFFFFF"/>
                      </a:solidFill>
                      <a:ln w="9525">
                        <a:solidFill>
                          <a:schemeClr val="bg1"/>
                        </a:solidFill>
                        <a:miter lim="800000"/>
                        <a:headEnd/>
                        <a:tailEnd/>
                      </a:ln>
                    </wps:spPr>
                    <wps:txbx>
                      <w:txbxContent>
                        <w:p w14:paraId="436E3128" w14:textId="0E6F6E47" w:rsidR="001956E9" w:rsidRPr="002A45A5" w:rsidRDefault="001956E9" w:rsidP="000309AC">
                          <w:pPr>
                            <w:pStyle w:val="Textonotapie"/>
                            <w:tabs>
                              <w:tab w:val="left" w:pos="1021"/>
                              <w:tab w:val="left" w:pos="1455"/>
                            </w:tabs>
                            <w:suppressOverlap/>
                            <w:rPr>
                              <w:rFonts w:ascii="Gill Sans MT" w:hAnsi="Gill Sans MT"/>
                              <w:snapToGrid w:val="0"/>
                              <w:color w:val="000000"/>
                              <w:sz w:val="14"/>
                              <w:szCs w:val="16"/>
                              <w:lang w:val="es-ES"/>
                            </w:rPr>
                          </w:pPr>
                          <w:r w:rsidRPr="002A45A5">
                            <w:rPr>
                              <w:rFonts w:ascii="Gill Sans MT" w:hAnsi="Gill Sans MT"/>
                              <w:snapToGrid w:val="0"/>
                              <w:color w:val="000000"/>
                              <w:sz w:val="14"/>
                              <w:szCs w:val="16"/>
                              <w:lang w:val="es-ES"/>
                            </w:rPr>
                            <w:t>VICEPRESIDENCIA PRIMERA DEL GOBIERNO</w:t>
                          </w:r>
                        </w:p>
                        <w:p w14:paraId="2CD9702B" w14:textId="77777777" w:rsidR="001956E9" w:rsidRPr="002A45A5" w:rsidRDefault="001956E9" w:rsidP="000309AC">
                          <w:pPr>
                            <w:pStyle w:val="Textonotapie"/>
                            <w:tabs>
                              <w:tab w:val="left" w:pos="1021"/>
                              <w:tab w:val="left" w:pos="1455"/>
                            </w:tabs>
                            <w:suppressOverlap/>
                            <w:rPr>
                              <w:rFonts w:ascii="Gill Sans MT" w:hAnsi="Gill Sans MT"/>
                              <w:snapToGrid w:val="0"/>
                              <w:color w:val="000000"/>
                              <w:sz w:val="14"/>
                              <w:szCs w:val="16"/>
                              <w:lang w:val="es-ES"/>
                            </w:rPr>
                          </w:pPr>
                        </w:p>
                        <w:p w14:paraId="7B261703" w14:textId="58DA2299" w:rsidR="000309AC" w:rsidRPr="002A45A5" w:rsidRDefault="000309AC" w:rsidP="000309AC">
                          <w:pPr>
                            <w:pStyle w:val="Textonotapie"/>
                            <w:tabs>
                              <w:tab w:val="left" w:pos="1021"/>
                              <w:tab w:val="left" w:pos="1455"/>
                            </w:tabs>
                            <w:suppressOverlap/>
                            <w:rPr>
                              <w:rFonts w:ascii="Gill Sans MT" w:hAnsi="Gill Sans MT"/>
                              <w:snapToGrid w:val="0"/>
                              <w:color w:val="000000"/>
                              <w:sz w:val="14"/>
                              <w:szCs w:val="16"/>
                              <w:lang w:val="es-ES"/>
                            </w:rPr>
                          </w:pPr>
                          <w:r w:rsidRPr="002A45A5">
                            <w:rPr>
                              <w:rFonts w:ascii="Gill Sans MT" w:hAnsi="Gill Sans MT"/>
                              <w:snapToGrid w:val="0"/>
                              <w:color w:val="000000"/>
                              <w:sz w:val="14"/>
                              <w:szCs w:val="16"/>
                              <w:lang w:val="es-ES"/>
                            </w:rPr>
                            <w:t xml:space="preserve">MINISTERIO </w:t>
                          </w:r>
                          <w:r w:rsidRPr="002A45A5">
                            <w:rPr>
                              <w:rFonts w:ascii="Gill Sans MT" w:hAnsi="Gill Sans MT"/>
                              <w:snapToGrid w:val="0"/>
                              <w:color w:val="000000"/>
                              <w:sz w:val="14"/>
                              <w:szCs w:val="16"/>
                              <w:lang w:val="es-ES"/>
                            </w:rPr>
                            <w:tab/>
                          </w:r>
                          <w:r w:rsidRPr="002A45A5">
                            <w:rPr>
                              <w:rFonts w:ascii="Gill Sans MT" w:hAnsi="Gill Sans MT"/>
                              <w:snapToGrid w:val="0"/>
                              <w:color w:val="000000"/>
                              <w:sz w:val="14"/>
                              <w:szCs w:val="16"/>
                              <w:lang w:val="es-ES"/>
                            </w:rPr>
                            <w:tab/>
                          </w:r>
                        </w:p>
                        <w:p w14:paraId="7F4DB76F" w14:textId="77777777" w:rsidR="000309AC" w:rsidRPr="002A45A5" w:rsidRDefault="000309AC" w:rsidP="000309AC">
                          <w:pPr>
                            <w:pStyle w:val="Textonotapie"/>
                            <w:tabs>
                              <w:tab w:val="left" w:pos="1021"/>
                              <w:tab w:val="left" w:pos="8080"/>
                            </w:tabs>
                            <w:suppressOverlap/>
                            <w:rPr>
                              <w:sz w:val="16"/>
                              <w:szCs w:val="16"/>
                              <w:lang w:val="es-ES"/>
                            </w:rPr>
                          </w:pPr>
                          <w:r w:rsidRPr="002A45A5">
                            <w:rPr>
                              <w:rFonts w:ascii="Gill Sans MT" w:hAnsi="Gill Sans MT"/>
                              <w:snapToGrid w:val="0"/>
                              <w:color w:val="000000"/>
                              <w:sz w:val="14"/>
                              <w:szCs w:val="16"/>
                              <w:lang w:val="es-ES"/>
                            </w:rPr>
                            <w:t>DE ECONOMÍA, COMERCIO Y</w:t>
                          </w:r>
                        </w:p>
                        <w:p w14:paraId="63832C83" w14:textId="77777777" w:rsidR="000309AC" w:rsidRPr="002A45A5" w:rsidRDefault="000309AC" w:rsidP="000309AC">
                          <w:pPr>
                            <w:rPr>
                              <w:rFonts w:ascii="Gill Sans MT" w:hAnsi="Gill Sans MT"/>
                              <w:sz w:val="14"/>
                              <w:szCs w:val="14"/>
                              <w:lang w:val="es-ES"/>
                            </w:rPr>
                          </w:pPr>
                          <w:r w:rsidRPr="002A45A5">
                            <w:rPr>
                              <w:rFonts w:ascii="Gill Sans MT" w:hAnsi="Gill Sans MT"/>
                              <w:sz w:val="14"/>
                              <w:szCs w:val="14"/>
                              <w:lang w:val="es-ES"/>
                            </w:rPr>
                            <w:t>EMPRESA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69927" id="_x0000_t202" coordsize="21600,21600" o:spt="202" path="m,l,21600r21600,l21600,xe">
              <v:stroke joinstyle="miter"/>
              <v:path gradientshapeok="t" o:connecttype="rect"/>
            </v:shapetype>
            <v:shape id="Text Box 307" o:spid="_x0000_s1026" type="#_x0000_t202" style="position:absolute;margin-left:47.2pt;margin-top:.2pt;width:168.45pt;height:49.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" strokecolor="white [3212]">
              <v:textbox>
                <w:txbxContent>
                  <w:p w14:paraId="436E3128" w14:textId="0E6F6E47" w:rsidR="001956E9" w:rsidRPr="002A45A5" w:rsidRDefault="001956E9" w:rsidP="000309AC">
                    <w:pPr>
                      <w:pStyle w:val="Textonotapie"/>
                      <w:tabs>
                        <w:tab w:val="left" w:pos="1021"/>
                        <w:tab w:val="left" w:pos="1455"/>
                      </w:tabs>
                      <w:suppressOverlap/>
                      <w:rPr>
                        <w:rFonts w:ascii="Gill Sans MT" w:hAnsi="Gill Sans MT"/>
                        <w:snapToGrid w:val="0"/>
                        <w:color w:val="000000"/>
                        <w:sz w:val="14"/>
                        <w:szCs w:val="16"/>
                        <w:lang w:val="es-ES"/>
                      </w:rPr>
                    </w:pPr>
                    <w:r w:rsidRPr="002A45A5">
                      <w:rPr>
                        <w:rFonts w:ascii="Gill Sans MT" w:hAnsi="Gill Sans MT"/>
                        <w:snapToGrid w:val="0"/>
                        <w:color w:val="000000"/>
                        <w:sz w:val="14"/>
                        <w:szCs w:val="16"/>
                        <w:lang w:val="es-ES"/>
                      </w:rPr>
                      <w:t>VICEPRESIDENCIA PRIMERA DEL GOBIERNO</w:t>
                    </w:r>
                  </w:p>
                  <w:p w14:paraId="2CD9702B" w14:textId="77777777" w:rsidR="001956E9" w:rsidRPr="002A45A5" w:rsidRDefault="001956E9" w:rsidP="000309AC">
                    <w:pPr>
                      <w:pStyle w:val="Textonotapie"/>
                      <w:tabs>
                        <w:tab w:val="left" w:pos="1021"/>
                        <w:tab w:val="left" w:pos="1455"/>
                      </w:tabs>
                      <w:suppressOverlap/>
                      <w:rPr>
                        <w:rFonts w:ascii="Gill Sans MT" w:hAnsi="Gill Sans MT"/>
                        <w:snapToGrid w:val="0"/>
                        <w:color w:val="000000"/>
                        <w:sz w:val="14"/>
                        <w:szCs w:val="16"/>
                        <w:lang w:val="es-ES"/>
                      </w:rPr>
                    </w:pPr>
                  </w:p>
                  <w:p w14:paraId="7B261703" w14:textId="58DA2299" w:rsidR="000309AC" w:rsidRPr="002A45A5" w:rsidRDefault="000309AC" w:rsidP="000309AC">
                    <w:pPr>
                      <w:pStyle w:val="Textonotapie"/>
                      <w:tabs>
                        <w:tab w:val="left" w:pos="1021"/>
                        <w:tab w:val="left" w:pos="1455"/>
                      </w:tabs>
                      <w:suppressOverlap/>
                      <w:rPr>
                        <w:rFonts w:ascii="Gill Sans MT" w:hAnsi="Gill Sans MT"/>
                        <w:snapToGrid w:val="0"/>
                        <w:color w:val="000000"/>
                        <w:sz w:val="14"/>
                        <w:szCs w:val="16"/>
                        <w:lang w:val="es-ES"/>
                      </w:rPr>
                    </w:pPr>
                    <w:r w:rsidRPr="002A45A5">
                      <w:rPr>
                        <w:rFonts w:ascii="Gill Sans MT" w:hAnsi="Gill Sans MT"/>
                        <w:snapToGrid w:val="0"/>
                        <w:color w:val="000000"/>
                        <w:sz w:val="14"/>
                        <w:szCs w:val="16"/>
                        <w:lang w:val="es-ES"/>
                      </w:rPr>
                      <w:t xml:space="preserve">MINISTERIO </w:t>
                    </w:r>
                    <w:r w:rsidRPr="002A45A5">
                      <w:rPr>
                        <w:rFonts w:ascii="Gill Sans MT" w:hAnsi="Gill Sans MT"/>
                        <w:snapToGrid w:val="0"/>
                        <w:color w:val="000000"/>
                        <w:sz w:val="14"/>
                        <w:szCs w:val="16"/>
                        <w:lang w:val="es-ES"/>
                      </w:rPr>
                      <w:tab/>
                    </w:r>
                    <w:r w:rsidRPr="002A45A5">
                      <w:rPr>
                        <w:rFonts w:ascii="Gill Sans MT" w:hAnsi="Gill Sans MT"/>
                        <w:snapToGrid w:val="0"/>
                        <w:color w:val="000000"/>
                        <w:sz w:val="14"/>
                        <w:szCs w:val="16"/>
                        <w:lang w:val="es-ES"/>
                      </w:rPr>
                      <w:tab/>
                    </w:r>
                  </w:p>
                  <w:p w14:paraId="7F4DB76F" w14:textId="77777777" w:rsidR="000309AC" w:rsidRPr="002A45A5" w:rsidRDefault="000309AC" w:rsidP="000309AC">
                    <w:pPr>
                      <w:pStyle w:val="Textonotapie"/>
                      <w:tabs>
                        <w:tab w:val="left" w:pos="1021"/>
                        <w:tab w:val="left" w:pos="8080"/>
                      </w:tabs>
                      <w:suppressOverlap/>
                      <w:rPr>
                        <w:sz w:val="16"/>
                        <w:szCs w:val="16"/>
                        <w:lang w:val="es-ES"/>
                      </w:rPr>
                    </w:pPr>
                    <w:r w:rsidRPr="002A45A5">
                      <w:rPr>
                        <w:rFonts w:ascii="Gill Sans MT" w:hAnsi="Gill Sans MT"/>
                        <w:snapToGrid w:val="0"/>
                        <w:color w:val="000000"/>
                        <w:sz w:val="14"/>
                        <w:szCs w:val="16"/>
                        <w:lang w:val="es-ES"/>
                      </w:rPr>
                      <w:t>DE ECONOMÍA, COMERCIO Y</w:t>
                    </w:r>
                  </w:p>
                  <w:p w14:paraId="63832C83" w14:textId="77777777" w:rsidR="000309AC" w:rsidRPr="002A45A5" w:rsidRDefault="000309AC" w:rsidP="000309AC">
                    <w:pPr>
                      <w:rPr>
                        <w:rFonts w:ascii="Gill Sans MT" w:hAnsi="Gill Sans MT"/>
                        <w:sz w:val="14"/>
                        <w:szCs w:val="14"/>
                        <w:lang w:val="es-ES"/>
                      </w:rPr>
                    </w:pPr>
                    <w:r w:rsidRPr="002A45A5">
                      <w:rPr>
                        <w:rFonts w:ascii="Gill Sans MT" w:hAnsi="Gill Sans MT"/>
                        <w:sz w:val="14"/>
                        <w:szCs w:val="14"/>
                        <w:lang w:val="es-ES"/>
                      </w:rPr>
                      <w:t>EMPRESA</w:t>
                    </w:r>
                  </w:p>
                </w:txbxContent>
              </v:textbox>
            </v:shape>
          </w:pict>
        </mc:Fallback>
      </mc:AlternateContent>
    </w:r>
    <w:r w:rsidR="007C2B43" w:rsidRPr="00A36AAE">
      <w:rPr>
        <w:rFonts w:ascii="Arial" w:hAnsi="Arial" w:cs="Arial"/>
        <w:noProof/>
        <w:color w:val="808080" w:themeColor="background1" w:themeShade="80"/>
        <w:sz w:val="16"/>
        <w:szCs w:val="16"/>
        <w:lang w:val="es-ES" w:eastAsia="es-ES"/>
      </w:rPr>
      <mc:AlternateContent>
        <mc:Choice Requires="wps">
          <w:drawing>
            <wp:anchor distT="0" distB="0" distL="114300" distR="114300" simplePos="0" relativeHeight="251658241" behindDoc="0" locked="0" layoutInCell="1" allowOverlap="1" wp14:anchorId="7F9AF816" wp14:editId="2DBD2235">
              <wp:simplePos x="0" y="0"/>
              <wp:positionH relativeFrom="margin">
                <wp:align>right</wp:align>
              </wp:positionH>
              <wp:positionV relativeFrom="paragraph">
                <wp:posOffset>-166010</wp:posOffset>
              </wp:positionV>
              <wp:extent cx="2932983" cy="914400"/>
              <wp:effectExtent l="0" t="0" r="2032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3" cy="914400"/>
                      </a:xfrm>
                      <a:prstGeom prst="rect">
                        <a:avLst/>
                      </a:prstGeom>
                      <a:noFill/>
                      <a:ln w="9525">
                        <a:solidFill>
                          <a:sysClr val="window" lastClr="FFFFFF"/>
                        </a:solidFill>
                        <a:miter lim="800000"/>
                        <a:headEnd/>
                        <a:tailEnd/>
                      </a:ln>
                    </wps:spPr>
                    <wps:txbx>
                      <w:txbxContent>
                        <w:p w14:paraId="165200E0" w14:textId="77777777" w:rsidR="000309AC" w:rsidRDefault="000309AC" w:rsidP="000309AC">
                          <w:pPr>
                            <w:rPr>
                              <w:rFonts w:ascii="Gill Sans MT" w:hAnsi="Gill Sans MT"/>
                              <w:sz w:val="14"/>
                              <w:lang w:val="es-ES"/>
                            </w:rPr>
                          </w:pPr>
                          <w:r w:rsidRPr="000E3AEA">
                            <w:rPr>
                              <w:rFonts w:ascii="Gill Sans MT" w:hAnsi="Gill Sans MT"/>
                              <w:sz w:val="14"/>
                              <w:lang w:val="es-ES"/>
                            </w:rPr>
                            <w:t>SECRETARÍA GENERAL DEL TESORO Y FINANCIACIÓN INTERNACIONAL</w:t>
                          </w:r>
                        </w:p>
                        <w:p w14:paraId="62F859AE" w14:textId="77777777" w:rsidR="000309AC" w:rsidRPr="000E3AEA" w:rsidRDefault="000309AC" w:rsidP="000309AC">
                          <w:pPr>
                            <w:rPr>
                              <w:rFonts w:ascii="Gill Sans MT" w:hAnsi="Gill Sans MT"/>
                              <w:sz w:val="14"/>
                              <w:lang w:val="es-ES"/>
                            </w:rPr>
                          </w:pPr>
                        </w:p>
                        <w:p w14:paraId="6C954CEA" w14:textId="77777777" w:rsidR="000309AC" w:rsidRDefault="000309AC" w:rsidP="000309AC">
                          <w:pPr>
                            <w:rPr>
                              <w:rFonts w:ascii="Gill Sans MT" w:hAnsi="Gill Sans MT"/>
                              <w:sz w:val="14"/>
                              <w:lang w:val="es-ES"/>
                            </w:rPr>
                          </w:pPr>
                          <w:r w:rsidRPr="000E3AEA">
                            <w:rPr>
                              <w:rFonts w:ascii="Gill Sans MT" w:hAnsi="Gill Sans MT"/>
                              <w:sz w:val="14"/>
                              <w:lang w:val="es-ES"/>
                            </w:rPr>
                            <w:t>D</w:t>
                          </w:r>
                          <w:r>
                            <w:rPr>
                              <w:rFonts w:ascii="Gill Sans MT" w:hAnsi="Gill Sans MT"/>
                              <w:sz w:val="14"/>
                              <w:lang w:val="es-ES"/>
                            </w:rPr>
                            <w:t xml:space="preserve">IRECCIÓN </w:t>
                          </w:r>
                          <w:r w:rsidRPr="000E3AEA">
                            <w:rPr>
                              <w:rFonts w:ascii="Gill Sans MT" w:hAnsi="Gill Sans MT"/>
                              <w:sz w:val="14"/>
                              <w:lang w:val="es-ES"/>
                            </w:rPr>
                            <w:t>G</w:t>
                          </w:r>
                          <w:r>
                            <w:rPr>
                              <w:rFonts w:ascii="Gill Sans MT" w:hAnsi="Gill Sans MT"/>
                              <w:sz w:val="14"/>
                              <w:lang w:val="es-ES"/>
                            </w:rPr>
                            <w:t>ENERAL</w:t>
                          </w:r>
                          <w:r w:rsidRPr="000E3AEA">
                            <w:rPr>
                              <w:rFonts w:ascii="Gill Sans MT" w:hAnsi="Gill Sans MT"/>
                              <w:sz w:val="14"/>
                              <w:lang w:val="es-ES"/>
                            </w:rPr>
                            <w:t xml:space="preserve"> DEL TESORO Y POLÍTICA FINANCIERA</w:t>
                          </w:r>
                        </w:p>
                        <w:p w14:paraId="36B48BA5" w14:textId="77777777" w:rsidR="000309AC" w:rsidRPr="000E3AEA" w:rsidRDefault="000309AC" w:rsidP="000309AC">
                          <w:pPr>
                            <w:rPr>
                              <w:rFonts w:ascii="Gill Sans MT" w:hAnsi="Gill Sans MT"/>
                              <w:sz w:val="14"/>
                              <w:lang w:val="es-ES"/>
                            </w:rPr>
                          </w:pPr>
                        </w:p>
                        <w:p w14:paraId="475DFC4D" w14:textId="77777777" w:rsidR="000309AC" w:rsidRPr="000E3AEA" w:rsidRDefault="000309AC" w:rsidP="000309AC">
                          <w:pPr>
                            <w:rPr>
                              <w:rFonts w:ascii="Gill Sans MT" w:hAnsi="Gill Sans MT"/>
                              <w:sz w:val="14"/>
                              <w:lang w:val="es-ES"/>
                            </w:rPr>
                          </w:pPr>
                          <w:r w:rsidRPr="000E3AEA">
                            <w:rPr>
                              <w:rFonts w:ascii="Gill Sans MT" w:hAnsi="Gill Sans MT"/>
                              <w:sz w:val="14"/>
                              <w:lang w:val="es-ES"/>
                            </w:rPr>
                            <w:t>S</w:t>
                          </w:r>
                          <w:r>
                            <w:rPr>
                              <w:rFonts w:ascii="Gill Sans MT" w:hAnsi="Gill Sans MT"/>
                              <w:sz w:val="14"/>
                              <w:lang w:val="es-ES"/>
                            </w:rPr>
                            <w:t xml:space="preserve">UBDIRECCIÓN </w:t>
                          </w:r>
                          <w:r w:rsidRPr="000E3AEA">
                            <w:rPr>
                              <w:rFonts w:ascii="Gill Sans MT" w:hAnsi="Gill Sans MT"/>
                              <w:sz w:val="14"/>
                              <w:lang w:val="es-ES"/>
                            </w:rPr>
                            <w:t>G</w:t>
                          </w:r>
                          <w:r>
                            <w:rPr>
                              <w:rFonts w:ascii="Gill Sans MT" w:hAnsi="Gill Sans MT"/>
                              <w:sz w:val="14"/>
                              <w:lang w:val="es-ES"/>
                            </w:rPr>
                            <w:t>ENERAL</w:t>
                          </w:r>
                          <w:r w:rsidRPr="000E3AEA">
                            <w:rPr>
                              <w:rFonts w:ascii="Gill Sans MT" w:hAnsi="Gill Sans MT"/>
                              <w:sz w:val="14"/>
                              <w:lang w:val="es-ES"/>
                            </w:rPr>
                            <w:t xml:space="preserve"> DE LEGISLACIÓN </w:t>
                          </w:r>
                          <w:r>
                            <w:rPr>
                              <w:rFonts w:ascii="Gill Sans MT" w:hAnsi="Gill Sans MT"/>
                              <w:sz w:val="14"/>
                              <w:lang w:val="es-ES"/>
                            </w:rPr>
                            <w:t>FINANCIERA</w:t>
                          </w:r>
                        </w:p>
                        <w:p w14:paraId="7BA4FB1F" w14:textId="77777777" w:rsidR="000309AC" w:rsidRPr="00804367" w:rsidRDefault="000309AC" w:rsidP="000309AC">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AF816" id="Text Box 5" o:spid="_x0000_s1027" type="#_x0000_t202" style="position:absolute;margin-left:179.75pt;margin-top:-13.05pt;width:230.95pt;height:1in;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" filled="f" strokecolor="window">
              <v:textbox>
                <w:txbxContent>
                  <w:p w14:paraId="165200E0" w14:textId="77777777" w:rsidR="000309AC" w:rsidRDefault="000309AC" w:rsidP="000309AC">
                    <w:pPr>
                      <w:rPr>
                        <w:rFonts w:ascii="Gill Sans MT" w:hAnsi="Gill Sans MT"/>
                        <w:sz w:val="14"/>
                        <w:lang w:val="es-ES"/>
                      </w:rPr>
                    </w:pPr>
                    <w:r w:rsidRPr="000E3AEA">
                      <w:rPr>
                        <w:rFonts w:ascii="Gill Sans MT" w:hAnsi="Gill Sans MT"/>
                        <w:sz w:val="14"/>
                        <w:lang w:val="es-ES"/>
                      </w:rPr>
                      <w:t>SECRETARÍA GENERAL DEL TESORO Y FINANCIACIÓN INTERNACIONAL</w:t>
                    </w:r>
                  </w:p>
                  <w:p w14:paraId="62F859AE" w14:textId="77777777" w:rsidR="000309AC" w:rsidRPr="000E3AEA" w:rsidRDefault="000309AC" w:rsidP="000309AC">
                    <w:pPr>
                      <w:rPr>
                        <w:rFonts w:ascii="Gill Sans MT" w:hAnsi="Gill Sans MT"/>
                        <w:sz w:val="14"/>
                        <w:lang w:val="es-ES"/>
                      </w:rPr>
                    </w:pPr>
                  </w:p>
                  <w:p w14:paraId="6C954CEA" w14:textId="77777777" w:rsidR="000309AC" w:rsidRDefault="000309AC" w:rsidP="000309AC">
                    <w:pPr>
                      <w:rPr>
                        <w:rFonts w:ascii="Gill Sans MT" w:hAnsi="Gill Sans MT"/>
                        <w:sz w:val="14"/>
                        <w:lang w:val="es-ES"/>
                      </w:rPr>
                    </w:pPr>
                    <w:r w:rsidRPr="000E3AEA">
                      <w:rPr>
                        <w:rFonts w:ascii="Gill Sans MT" w:hAnsi="Gill Sans MT"/>
                        <w:sz w:val="14"/>
                        <w:lang w:val="es-ES"/>
                      </w:rPr>
                      <w:t>D</w:t>
                    </w:r>
                    <w:r>
                      <w:rPr>
                        <w:rFonts w:ascii="Gill Sans MT" w:hAnsi="Gill Sans MT"/>
                        <w:sz w:val="14"/>
                        <w:lang w:val="es-ES"/>
                      </w:rPr>
                      <w:t xml:space="preserve">IRECCIÓN </w:t>
                    </w:r>
                    <w:r w:rsidRPr="000E3AEA">
                      <w:rPr>
                        <w:rFonts w:ascii="Gill Sans MT" w:hAnsi="Gill Sans MT"/>
                        <w:sz w:val="14"/>
                        <w:lang w:val="es-ES"/>
                      </w:rPr>
                      <w:t>G</w:t>
                    </w:r>
                    <w:r>
                      <w:rPr>
                        <w:rFonts w:ascii="Gill Sans MT" w:hAnsi="Gill Sans MT"/>
                        <w:sz w:val="14"/>
                        <w:lang w:val="es-ES"/>
                      </w:rPr>
                      <w:t>ENERAL</w:t>
                    </w:r>
                    <w:r w:rsidRPr="000E3AEA">
                      <w:rPr>
                        <w:rFonts w:ascii="Gill Sans MT" w:hAnsi="Gill Sans MT"/>
                        <w:sz w:val="14"/>
                        <w:lang w:val="es-ES"/>
                      </w:rPr>
                      <w:t xml:space="preserve"> DEL TESORO Y POLÍTICA FINANCIERA</w:t>
                    </w:r>
                  </w:p>
                  <w:p w14:paraId="36B48BA5" w14:textId="77777777" w:rsidR="000309AC" w:rsidRPr="000E3AEA" w:rsidRDefault="000309AC" w:rsidP="000309AC">
                    <w:pPr>
                      <w:rPr>
                        <w:rFonts w:ascii="Gill Sans MT" w:hAnsi="Gill Sans MT"/>
                        <w:sz w:val="14"/>
                        <w:lang w:val="es-ES"/>
                      </w:rPr>
                    </w:pPr>
                  </w:p>
                  <w:p w14:paraId="475DFC4D" w14:textId="77777777" w:rsidR="000309AC" w:rsidRPr="000E3AEA" w:rsidRDefault="000309AC" w:rsidP="000309AC">
                    <w:pPr>
                      <w:rPr>
                        <w:rFonts w:ascii="Gill Sans MT" w:hAnsi="Gill Sans MT"/>
                        <w:sz w:val="14"/>
                        <w:lang w:val="es-ES"/>
                      </w:rPr>
                    </w:pPr>
                    <w:r w:rsidRPr="000E3AEA">
                      <w:rPr>
                        <w:rFonts w:ascii="Gill Sans MT" w:hAnsi="Gill Sans MT"/>
                        <w:sz w:val="14"/>
                        <w:lang w:val="es-ES"/>
                      </w:rPr>
                      <w:t>S</w:t>
                    </w:r>
                    <w:r>
                      <w:rPr>
                        <w:rFonts w:ascii="Gill Sans MT" w:hAnsi="Gill Sans MT"/>
                        <w:sz w:val="14"/>
                        <w:lang w:val="es-ES"/>
                      </w:rPr>
                      <w:t xml:space="preserve">UBDIRECCIÓN </w:t>
                    </w:r>
                    <w:r w:rsidRPr="000E3AEA">
                      <w:rPr>
                        <w:rFonts w:ascii="Gill Sans MT" w:hAnsi="Gill Sans MT"/>
                        <w:sz w:val="14"/>
                        <w:lang w:val="es-ES"/>
                      </w:rPr>
                      <w:t>G</w:t>
                    </w:r>
                    <w:r>
                      <w:rPr>
                        <w:rFonts w:ascii="Gill Sans MT" w:hAnsi="Gill Sans MT"/>
                        <w:sz w:val="14"/>
                        <w:lang w:val="es-ES"/>
                      </w:rPr>
                      <w:t>ENERAL</w:t>
                    </w:r>
                    <w:r w:rsidRPr="000E3AEA">
                      <w:rPr>
                        <w:rFonts w:ascii="Gill Sans MT" w:hAnsi="Gill Sans MT"/>
                        <w:sz w:val="14"/>
                        <w:lang w:val="es-ES"/>
                      </w:rPr>
                      <w:t xml:space="preserve"> DE LEGISLACIÓN </w:t>
                    </w:r>
                    <w:r>
                      <w:rPr>
                        <w:rFonts w:ascii="Gill Sans MT" w:hAnsi="Gill Sans MT"/>
                        <w:sz w:val="14"/>
                        <w:lang w:val="es-ES"/>
                      </w:rPr>
                      <w:t>FINANCIERA</w:t>
                    </w:r>
                  </w:p>
                  <w:p w14:paraId="7BA4FB1F" w14:textId="77777777" w:rsidR="000309AC" w:rsidRPr="00804367" w:rsidRDefault="000309AC" w:rsidP="000309AC">
                    <w:pPr>
                      <w:rPr>
                        <w:lang w:val="es-ES"/>
                      </w:rPr>
                    </w:pPr>
                  </w:p>
                </w:txbxContent>
              </v:textbox>
              <w10:wrap anchorx="margin"/>
            </v:shape>
          </w:pict>
        </mc:Fallback>
      </mc:AlternateContent>
    </w:r>
    <w:r w:rsidR="000309AC">
      <w:rPr>
        <w:noProof/>
        <w:lang w:val="es-ES" w:eastAsia="es-ES"/>
      </w:rPr>
      <w:drawing>
        <wp:inline distT="0" distB="0" distL="0" distR="0" wp14:anchorId="7C2F4DF1" wp14:editId="3DCE085E">
          <wp:extent cx="607252" cy="633575"/>
          <wp:effectExtent l="0" t="0" r="2540" b="0"/>
          <wp:docPr id="1371310507" name="Picture 1"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343" cy="633670"/>
                  </a:xfrm>
                  <a:prstGeom prst="rect">
                    <a:avLst/>
                  </a:prstGeom>
                  <a:noFill/>
                  <a:ln>
                    <a:noFill/>
                  </a:ln>
                </pic:spPr>
              </pic:pic>
            </a:graphicData>
          </a:graphic>
        </wp:inline>
      </w:drawing>
    </w:r>
  </w:p>
  <w:p w14:paraId="179812E4" w14:textId="77777777" w:rsidR="000309AC" w:rsidRDefault="000309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B95"/>
    <w:multiLevelType w:val="multilevel"/>
    <w:tmpl w:val="0C0A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34B7B"/>
    <w:multiLevelType w:val="multilevel"/>
    <w:tmpl w:val="EEEA2D24"/>
    <w:lvl w:ilvl="0">
      <w:start w:val="8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25651D"/>
    <w:multiLevelType w:val="hybridMultilevel"/>
    <w:tmpl w:val="1F0ECDB2"/>
    <w:lvl w:ilvl="0" w:tplc="FFFFFFFF">
      <w:start w:val="1"/>
      <w:numFmt w:val="lowerRoman"/>
      <w:lvlText w:val="%1."/>
      <w:lvlJc w:val="left"/>
      <w:pPr>
        <w:ind w:left="925" w:hanging="720"/>
      </w:pPr>
      <w:rPr>
        <w:rFonts w:hint="default"/>
      </w:rPr>
    </w:lvl>
    <w:lvl w:ilvl="1" w:tplc="FFFFFFFF" w:tentative="1">
      <w:start w:val="1"/>
      <w:numFmt w:val="lowerLetter"/>
      <w:lvlText w:val="%2."/>
      <w:lvlJc w:val="left"/>
      <w:pPr>
        <w:ind w:left="1285" w:hanging="360"/>
      </w:pPr>
    </w:lvl>
    <w:lvl w:ilvl="2" w:tplc="FFFFFFFF" w:tentative="1">
      <w:start w:val="1"/>
      <w:numFmt w:val="lowerRoman"/>
      <w:lvlText w:val="%3."/>
      <w:lvlJc w:val="right"/>
      <w:pPr>
        <w:ind w:left="2005" w:hanging="180"/>
      </w:pPr>
    </w:lvl>
    <w:lvl w:ilvl="3" w:tplc="FFFFFFFF" w:tentative="1">
      <w:start w:val="1"/>
      <w:numFmt w:val="decimal"/>
      <w:lvlText w:val="%4."/>
      <w:lvlJc w:val="left"/>
      <w:pPr>
        <w:ind w:left="2725" w:hanging="360"/>
      </w:pPr>
    </w:lvl>
    <w:lvl w:ilvl="4" w:tplc="FFFFFFFF" w:tentative="1">
      <w:start w:val="1"/>
      <w:numFmt w:val="lowerLetter"/>
      <w:lvlText w:val="%5."/>
      <w:lvlJc w:val="left"/>
      <w:pPr>
        <w:ind w:left="3445" w:hanging="360"/>
      </w:pPr>
    </w:lvl>
    <w:lvl w:ilvl="5" w:tplc="FFFFFFFF" w:tentative="1">
      <w:start w:val="1"/>
      <w:numFmt w:val="lowerRoman"/>
      <w:lvlText w:val="%6."/>
      <w:lvlJc w:val="right"/>
      <w:pPr>
        <w:ind w:left="4165" w:hanging="180"/>
      </w:pPr>
    </w:lvl>
    <w:lvl w:ilvl="6" w:tplc="FFFFFFFF" w:tentative="1">
      <w:start w:val="1"/>
      <w:numFmt w:val="decimal"/>
      <w:lvlText w:val="%7."/>
      <w:lvlJc w:val="left"/>
      <w:pPr>
        <w:ind w:left="4885" w:hanging="360"/>
      </w:pPr>
    </w:lvl>
    <w:lvl w:ilvl="7" w:tplc="FFFFFFFF" w:tentative="1">
      <w:start w:val="1"/>
      <w:numFmt w:val="lowerLetter"/>
      <w:lvlText w:val="%8."/>
      <w:lvlJc w:val="left"/>
      <w:pPr>
        <w:ind w:left="5605" w:hanging="360"/>
      </w:pPr>
    </w:lvl>
    <w:lvl w:ilvl="8" w:tplc="FFFFFFFF" w:tentative="1">
      <w:start w:val="1"/>
      <w:numFmt w:val="lowerRoman"/>
      <w:lvlText w:val="%9."/>
      <w:lvlJc w:val="right"/>
      <w:pPr>
        <w:ind w:left="6325" w:hanging="180"/>
      </w:pPr>
    </w:lvl>
  </w:abstractNum>
  <w:abstractNum w:abstractNumId="3" w15:restartNumberingAfterBreak="0">
    <w:nsid w:val="0B65559B"/>
    <w:multiLevelType w:val="hybridMultilevel"/>
    <w:tmpl w:val="A664CBA0"/>
    <w:lvl w:ilvl="0" w:tplc="7FEABB86">
      <w:start w:val="8"/>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FB7767"/>
    <w:multiLevelType w:val="multilevel"/>
    <w:tmpl w:val="E948167A"/>
    <w:lvl w:ilvl="0">
      <w:start w:val="1"/>
      <w:numFmt w:val="decimal"/>
      <w:lvlText w:val="%1."/>
      <w:lvlJc w:val="left"/>
      <w:pPr>
        <w:ind w:left="360" w:hanging="360"/>
      </w:pPr>
      <w:rPr>
        <w:rFonts w:hint="default"/>
      </w:rPr>
    </w:lvl>
    <w:lvl w:ilvl="1">
      <w:start w:val="1"/>
      <w:numFmt w:val="decimal"/>
      <w:lvlText w:val="%1.%2."/>
      <w:lvlJc w:val="left"/>
      <w:pPr>
        <w:ind w:left="443" w:hanging="360"/>
      </w:pPr>
      <w:rPr>
        <w:rFonts w:hint="default"/>
      </w:rPr>
    </w:lvl>
    <w:lvl w:ilvl="2">
      <w:start w:val="1"/>
      <w:numFmt w:val="decimal"/>
      <w:lvlText w:val="%1.%2.%3."/>
      <w:lvlJc w:val="left"/>
      <w:pPr>
        <w:ind w:left="886" w:hanging="720"/>
      </w:pPr>
      <w:rPr>
        <w:rFonts w:hint="default"/>
      </w:rPr>
    </w:lvl>
    <w:lvl w:ilvl="3">
      <w:start w:val="1"/>
      <w:numFmt w:val="decimal"/>
      <w:lvlText w:val="%1.%2.%3.%4."/>
      <w:lvlJc w:val="left"/>
      <w:pPr>
        <w:ind w:left="969" w:hanging="720"/>
      </w:pPr>
      <w:rPr>
        <w:rFonts w:hint="default"/>
      </w:rPr>
    </w:lvl>
    <w:lvl w:ilvl="4">
      <w:start w:val="1"/>
      <w:numFmt w:val="decimal"/>
      <w:lvlText w:val="%1.%2.%3.%4.%5."/>
      <w:lvlJc w:val="left"/>
      <w:pPr>
        <w:ind w:left="1412" w:hanging="1080"/>
      </w:pPr>
      <w:rPr>
        <w:rFonts w:hint="default"/>
      </w:rPr>
    </w:lvl>
    <w:lvl w:ilvl="5">
      <w:start w:val="1"/>
      <w:numFmt w:val="decimal"/>
      <w:lvlText w:val="%1.%2.%3.%4.%5.%6."/>
      <w:lvlJc w:val="left"/>
      <w:pPr>
        <w:ind w:left="1495" w:hanging="1080"/>
      </w:pPr>
      <w:rPr>
        <w:rFonts w:hint="default"/>
      </w:rPr>
    </w:lvl>
    <w:lvl w:ilvl="6">
      <w:start w:val="1"/>
      <w:numFmt w:val="decimal"/>
      <w:lvlText w:val="%1.%2.%3.%4.%5.%6.%7."/>
      <w:lvlJc w:val="left"/>
      <w:pPr>
        <w:ind w:left="1938" w:hanging="1440"/>
      </w:pPr>
      <w:rPr>
        <w:rFonts w:hint="default"/>
      </w:rPr>
    </w:lvl>
    <w:lvl w:ilvl="7">
      <w:start w:val="1"/>
      <w:numFmt w:val="decimal"/>
      <w:lvlText w:val="%1.%2.%3.%4.%5.%6.%7.%8."/>
      <w:lvlJc w:val="left"/>
      <w:pPr>
        <w:ind w:left="2021" w:hanging="1440"/>
      </w:pPr>
      <w:rPr>
        <w:rFonts w:hint="default"/>
      </w:rPr>
    </w:lvl>
    <w:lvl w:ilvl="8">
      <w:start w:val="1"/>
      <w:numFmt w:val="decimal"/>
      <w:lvlText w:val="%1.%2.%3.%4.%5.%6.%7.%8.%9."/>
      <w:lvlJc w:val="left"/>
      <w:pPr>
        <w:ind w:left="2464" w:hanging="1800"/>
      </w:pPr>
      <w:rPr>
        <w:rFonts w:hint="default"/>
      </w:rPr>
    </w:lvl>
  </w:abstractNum>
  <w:abstractNum w:abstractNumId="5" w15:restartNumberingAfterBreak="0">
    <w:nsid w:val="15DF3B73"/>
    <w:multiLevelType w:val="hybridMultilevel"/>
    <w:tmpl w:val="D016539A"/>
    <w:lvl w:ilvl="0" w:tplc="9386FC8C">
      <w:start w:val="8"/>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356FE1"/>
    <w:multiLevelType w:val="hybridMultilevel"/>
    <w:tmpl w:val="1F0ECDB2"/>
    <w:lvl w:ilvl="0" w:tplc="531823D6">
      <w:start w:val="1"/>
      <w:numFmt w:val="lowerRoman"/>
      <w:lvlText w:val="%1."/>
      <w:lvlJc w:val="left"/>
      <w:pPr>
        <w:ind w:left="925" w:hanging="720"/>
      </w:pPr>
      <w:rPr>
        <w:rFonts w:hint="default"/>
      </w:rPr>
    </w:lvl>
    <w:lvl w:ilvl="1" w:tplc="0C0A0019" w:tentative="1">
      <w:start w:val="1"/>
      <w:numFmt w:val="lowerLetter"/>
      <w:lvlText w:val="%2."/>
      <w:lvlJc w:val="left"/>
      <w:pPr>
        <w:ind w:left="1285" w:hanging="360"/>
      </w:pPr>
    </w:lvl>
    <w:lvl w:ilvl="2" w:tplc="0C0A001B" w:tentative="1">
      <w:start w:val="1"/>
      <w:numFmt w:val="lowerRoman"/>
      <w:lvlText w:val="%3."/>
      <w:lvlJc w:val="right"/>
      <w:pPr>
        <w:ind w:left="2005" w:hanging="180"/>
      </w:pPr>
    </w:lvl>
    <w:lvl w:ilvl="3" w:tplc="0C0A000F" w:tentative="1">
      <w:start w:val="1"/>
      <w:numFmt w:val="decimal"/>
      <w:lvlText w:val="%4."/>
      <w:lvlJc w:val="left"/>
      <w:pPr>
        <w:ind w:left="2725" w:hanging="360"/>
      </w:pPr>
    </w:lvl>
    <w:lvl w:ilvl="4" w:tplc="0C0A0019" w:tentative="1">
      <w:start w:val="1"/>
      <w:numFmt w:val="lowerLetter"/>
      <w:lvlText w:val="%5."/>
      <w:lvlJc w:val="left"/>
      <w:pPr>
        <w:ind w:left="3445" w:hanging="360"/>
      </w:pPr>
    </w:lvl>
    <w:lvl w:ilvl="5" w:tplc="0C0A001B" w:tentative="1">
      <w:start w:val="1"/>
      <w:numFmt w:val="lowerRoman"/>
      <w:lvlText w:val="%6."/>
      <w:lvlJc w:val="right"/>
      <w:pPr>
        <w:ind w:left="4165" w:hanging="180"/>
      </w:pPr>
    </w:lvl>
    <w:lvl w:ilvl="6" w:tplc="0C0A000F" w:tentative="1">
      <w:start w:val="1"/>
      <w:numFmt w:val="decimal"/>
      <w:lvlText w:val="%7."/>
      <w:lvlJc w:val="left"/>
      <w:pPr>
        <w:ind w:left="4885" w:hanging="360"/>
      </w:pPr>
    </w:lvl>
    <w:lvl w:ilvl="7" w:tplc="0C0A0019" w:tentative="1">
      <w:start w:val="1"/>
      <w:numFmt w:val="lowerLetter"/>
      <w:lvlText w:val="%8."/>
      <w:lvlJc w:val="left"/>
      <w:pPr>
        <w:ind w:left="5605" w:hanging="360"/>
      </w:pPr>
    </w:lvl>
    <w:lvl w:ilvl="8" w:tplc="0C0A001B" w:tentative="1">
      <w:start w:val="1"/>
      <w:numFmt w:val="lowerRoman"/>
      <w:lvlText w:val="%9."/>
      <w:lvlJc w:val="right"/>
      <w:pPr>
        <w:ind w:left="6325" w:hanging="180"/>
      </w:pPr>
    </w:lvl>
  </w:abstractNum>
  <w:abstractNum w:abstractNumId="7" w15:restartNumberingAfterBreak="0">
    <w:nsid w:val="1BD16A7E"/>
    <w:multiLevelType w:val="multilevel"/>
    <w:tmpl w:val="3F2AB00E"/>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FD73AC7"/>
    <w:multiLevelType w:val="multilevel"/>
    <w:tmpl w:val="F312B30A"/>
    <w:lvl w:ilvl="0">
      <w:start w:val="1"/>
      <w:numFmt w:val="decimal"/>
      <w:lvlText w:val="%1."/>
      <w:lvlJc w:val="left"/>
      <w:pPr>
        <w:ind w:left="898"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20AE6F3A"/>
    <w:multiLevelType w:val="hybridMultilevel"/>
    <w:tmpl w:val="CBE6CCAE"/>
    <w:lvl w:ilvl="0" w:tplc="EB94317E">
      <w:start w:val="7"/>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6246DC"/>
    <w:multiLevelType w:val="multilevel"/>
    <w:tmpl w:val="6F2EA68C"/>
    <w:lvl w:ilvl="0">
      <w:start w:val="1"/>
      <w:numFmt w:val="decimal"/>
      <w:lvlText w:val="%1."/>
      <w:lvlJc w:val="left"/>
      <w:pPr>
        <w:ind w:left="360" w:hanging="360"/>
      </w:pPr>
      <w:rPr>
        <w:rFonts w:hint="default"/>
      </w:rPr>
    </w:lvl>
    <w:lvl w:ilvl="1">
      <w:start w:val="1"/>
      <w:numFmt w:val="decimal"/>
      <w:lvlText w:val="%1.%2."/>
      <w:lvlJc w:val="left"/>
      <w:pPr>
        <w:ind w:left="1163" w:hanging="720"/>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409" w:hanging="108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655" w:hanging="144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901" w:hanging="1800"/>
      </w:pPr>
      <w:rPr>
        <w:rFonts w:hint="default"/>
      </w:rPr>
    </w:lvl>
    <w:lvl w:ilvl="8">
      <w:start w:val="1"/>
      <w:numFmt w:val="decimal"/>
      <w:lvlText w:val="%1.%2.%3.%4.%5.%6.%7.%8.%9."/>
      <w:lvlJc w:val="left"/>
      <w:pPr>
        <w:ind w:left="5344" w:hanging="1800"/>
      </w:pPr>
      <w:rPr>
        <w:rFonts w:hint="default"/>
      </w:rPr>
    </w:lvl>
  </w:abstractNum>
  <w:abstractNum w:abstractNumId="11" w15:restartNumberingAfterBreak="0">
    <w:nsid w:val="2D7F28F9"/>
    <w:multiLevelType w:val="multilevel"/>
    <w:tmpl w:val="CE5A00B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D459E5"/>
    <w:multiLevelType w:val="multilevel"/>
    <w:tmpl w:val="ED183BD6"/>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D900056"/>
    <w:multiLevelType w:val="hybridMultilevel"/>
    <w:tmpl w:val="AC76BB82"/>
    <w:lvl w:ilvl="0" w:tplc="0C0A0015">
      <w:start w:val="1"/>
      <w:numFmt w:val="upperLetter"/>
      <w:lvlText w:val="%1."/>
      <w:lvlJc w:val="left"/>
      <w:pPr>
        <w:ind w:left="360" w:hanging="360"/>
      </w:pPr>
      <w:rPr>
        <w:rFonts w:hint="default"/>
      </w:rPr>
    </w:lvl>
    <w:lvl w:ilvl="1" w:tplc="0B16CFD6">
      <w:start w:val="1"/>
      <w:numFmt w:val="decimal"/>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F9031E8"/>
    <w:multiLevelType w:val="multilevel"/>
    <w:tmpl w:val="BF14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22FF3"/>
    <w:multiLevelType w:val="multilevel"/>
    <w:tmpl w:val="FA1C9B4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E444FF"/>
    <w:multiLevelType w:val="multilevel"/>
    <w:tmpl w:val="425E8B96"/>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58E2EC8"/>
    <w:multiLevelType w:val="hybridMultilevel"/>
    <w:tmpl w:val="EEF0F370"/>
    <w:lvl w:ilvl="0" w:tplc="F4ECBFF0">
      <w:start w:val="1"/>
      <w:numFmt w:val="lowerLetter"/>
      <w:lvlText w:val="%1)"/>
      <w:lvlJc w:val="left"/>
      <w:pPr>
        <w:ind w:left="528" w:hanging="360"/>
      </w:pPr>
      <w:rPr>
        <w:rFonts w:hint="default"/>
      </w:rPr>
    </w:lvl>
    <w:lvl w:ilvl="1" w:tplc="0C0A0019" w:tentative="1">
      <w:start w:val="1"/>
      <w:numFmt w:val="lowerLetter"/>
      <w:lvlText w:val="%2."/>
      <w:lvlJc w:val="left"/>
      <w:pPr>
        <w:ind w:left="1248" w:hanging="360"/>
      </w:pPr>
    </w:lvl>
    <w:lvl w:ilvl="2" w:tplc="0C0A001B" w:tentative="1">
      <w:start w:val="1"/>
      <w:numFmt w:val="lowerRoman"/>
      <w:lvlText w:val="%3."/>
      <w:lvlJc w:val="right"/>
      <w:pPr>
        <w:ind w:left="1968" w:hanging="180"/>
      </w:pPr>
    </w:lvl>
    <w:lvl w:ilvl="3" w:tplc="0C0A000F" w:tentative="1">
      <w:start w:val="1"/>
      <w:numFmt w:val="decimal"/>
      <w:lvlText w:val="%4."/>
      <w:lvlJc w:val="left"/>
      <w:pPr>
        <w:ind w:left="2688" w:hanging="360"/>
      </w:pPr>
    </w:lvl>
    <w:lvl w:ilvl="4" w:tplc="0C0A0019" w:tentative="1">
      <w:start w:val="1"/>
      <w:numFmt w:val="lowerLetter"/>
      <w:lvlText w:val="%5."/>
      <w:lvlJc w:val="left"/>
      <w:pPr>
        <w:ind w:left="3408" w:hanging="360"/>
      </w:pPr>
    </w:lvl>
    <w:lvl w:ilvl="5" w:tplc="0C0A001B" w:tentative="1">
      <w:start w:val="1"/>
      <w:numFmt w:val="lowerRoman"/>
      <w:lvlText w:val="%6."/>
      <w:lvlJc w:val="right"/>
      <w:pPr>
        <w:ind w:left="4128" w:hanging="180"/>
      </w:pPr>
    </w:lvl>
    <w:lvl w:ilvl="6" w:tplc="0C0A000F" w:tentative="1">
      <w:start w:val="1"/>
      <w:numFmt w:val="decimal"/>
      <w:lvlText w:val="%7."/>
      <w:lvlJc w:val="left"/>
      <w:pPr>
        <w:ind w:left="4848" w:hanging="360"/>
      </w:pPr>
    </w:lvl>
    <w:lvl w:ilvl="7" w:tplc="0C0A0019" w:tentative="1">
      <w:start w:val="1"/>
      <w:numFmt w:val="lowerLetter"/>
      <w:lvlText w:val="%8."/>
      <w:lvlJc w:val="left"/>
      <w:pPr>
        <w:ind w:left="5568" w:hanging="360"/>
      </w:pPr>
    </w:lvl>
    <w:lvl w:ilvl="8" w:tplc="0C0A001B" w:tentative="1">
      <w:start w:val="1"/>
      <w:numFmt w:val="lowerRoman"/>
      <w:lvlText w:val="%9."/>
      <w:lvlJc w:val="right"/>
      <w:pPr>
        <w:ind w:left="6288" w:hanging="180"/>
      </w:pPr>
    </w:lvl>
  </w:abstractNum>
  <w:abstractNum w:abstractNumId="18" w15:restartNumberingAfterBreak="0">
    <w:nsid w:val="4C0F1838"/>
    <w:multiLevelType w:val="hybridMultilevel"/>
    <w:tmpl w:val="9FB43CFA"/>
    <w:lvl w:ilvl="0" w:tplc="C0D417E8">
      <w:start w:val="8"/>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CE002D4"/>
    <w:multiLevelType w:val="hybridMultilevel"/>
    <w:tmpl w:val="815C4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D724B9C"/>
    <w:multiLevelType w:val="multilevel"/>
    <w:tmpl w:val="FA1C9B4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925EDB"/>
    <w:multiLevelType w:val="multilevel"/>
    <w:tmpl w:val="90FECCD8"/>
    <w:lvl w:ilvl="0">
      <w:start w:val="2"/>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55EF6C2B"/>
    <w:multiLevelType w:val="hybridMultilevel"/>
    <w:tmpl w:val="6248C4C0"/>
    <w:lvl w:ilvl="0" w:tplc="BFE2B104">
      <w:start w:val="1"/>
      <w:numFmt w:val="lowerLetter"/>
      <w:lvlText w:val="%1)"/>
      <w:lvlJc w:val="left"/>
      <w:pPr>
        <w:ind w:left="720" w:hanging="360"/>
      </w:pPr>
      <w:rPr>
        <w:rFonts w:eastAsiaTheme="majorEastAsia" w:hint="default"/>
        <w:b/>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8045063"/>
    <w:multiLevelType w:val="hybridMultilevel"/>
    <w:tmpl w:val="6E26429C"/>
    <w:lvl w:ilvl="0" w:tplc="446EAE54">
      <w:start w:val="8"/>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9CF34E4"/>
    <w:multiLevelType w:val="hybridMultilevel"/>
    <w:tmpl w:val="51302D0C"/>
    <w:lvl w:ilvl="0" w:tplc="0C0A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9DC1596"/>
    <w:multiLevelType w:val="hybridMultilevel"/>
    <w:tmpl w:val="88A48B7C"/>
    <w:lvl w:ilvl="0" w:tplc="843A43E6">
      <w:numFmt w:val="bullet"/>
      <w:lvlText w:val=""/>
      <w:lvlJc w:val="left"/>
      <w:pPr>
        <w:ind w:left="1633" w:hanging="358"/>
      </w:pPr>
      <w:rPr>
        <w:rFonts w:ascii="Wingdings" w:eastAsia="Wingdings" w:hAnsi="Wingdings" w:cs="Wingdings" w:hint="default"/>
        <w:b w:val="0"/>
        <w:bCs w:val="0"/>
        <w:i w:val="0"/>
        <w:iCs w:val="0"/>
        <w:w w:val="100"/>
        <w:sz w:val="22"/>
        <w:szCs w:val="22"/>
        <w:lang w:val="es-ES" w:eastAsia="en-US" w:bidi="ar-SA"/>
      </w:rPr>
    </w:lvl>
    <w:lvl w:ilvl="1" w:tplc="3AF402E0">
      <w:numFmt w:val="bullet"/>
      <w:lvlText w:val="•"/>
      <w:lvlJc w:val="left"/>
      <w:pPr>
        <w:ind w:left="2346" w:hanging="358"/>
      </w:pPr>
      <w:rPr>
        <w:rFonts w:hint="default"/>
        <w:lang w:val="es-ES" w:eastAsia="en-US" w:bidi="ar-SA"/>
      </w:rPr>
    </w:lvl>
    <w:lvl w:ilvl="2" w:tplc="9478309A">
      <w:numFmt w:val="bullet"/>
      <w:lvlText w:val="•"/>
      <w:lvlJc w:val="left"/>
      <w:pPr>
        <w:ind w:left="3053" w:hanging="358"/>
      </w:pPr>
      <w:rPr>
        <w:rFonts w:hint="default"/>
        <w:lang w:val="es-ES" w:eastAsia="en-US" w:bidi="ar-SA"/>
      </w:rPr>
    </w:lvl>
    <w:lvl w:ilvl="3" w:tplc="D832A6FC">
      <w:numFmt w:val="bullet"/>
      <w:lvlText w:val="•"/>
      <w:lvlJc w:val="left"/>
      <w:pPr>
        <w:ind w:left="3759" w:hanging="358"/>
      </w:pPr>
      <w:rPr>
        <w:rFonts w:hint="default"/>
        <w:lang w:val="es-ES" w:eastAsia="en-US" w:bidi="ar-SA"/>
      </w:rPr>
    </w:lvl>
    <w:lvl w:ilvl="4" w:tplc="89B8D63C">
      <w:numFmt w:val="bullet"/>
      <w:lvlText w:val="•"/>
      <w:lvlJc w:val="left"/>
      <w:pPr>
        <w:ind w:left="4466" w:hanging="358"/>
      </w:pPr>
      <w:rPr>
        <w:rFonts w:hint="default"/>
        <w:lang w:val="es-ES" w:eastAsia="en-US" w:bidi="ar-SA"/>
      </w:rPr>
    </w:lvl>
    <w:lvl w:ilvl="5" w:tplc="64860090">
      <w:numFmt w:val="bullet"/>
      <w:lvlText w:val="•"/>
      <w:lvlJc w:val="left"/>
      <w:pPr>
        <w:ind w:left="5173" w:hanging="358"/>
      </w:pPr>
      <w:rPr>
        <w:rFonts w:hint="default"/>
        <w:lang w:val="es-ES" w:eastAsia="en-US" w:bidi="ar-SA"/>
      </w:rPr>
    </w:lvl>
    <w:lvl w:ilvl="6" w:tplc="F93882B6">
      <w:numFmt w:val="bullet"/>
      <w:lvlText w:val="•"/>
      <w:lvlJc w:val="left"/>
      <w:pPr>
        <w:ind w:left="5879" w:hanging="358"/>
      </w:pPr>
      <w:rPr>
        <w:rFonts w:hint="default"/>
        <w:lang w:val="es-ES" w:eastAsia="en-US" w:bidi="ar-SA"/>
      </w:rPr>
    </w:lvl>
    <w:lvl w:ilvl="7" w:tplc="EC727032">
      <w:numFmt w:val="bullet"/>
      <w:lvlText w:val="•"/>
      <w:lvlJc w:val="left"/>
      <w:pPr>
        <w:ind w:left="6586" w:hanging="358"/>
      </w:pPr>
      <w:rPr>
        <w:rFonts w:hint="default"/>
        <w:lang w:val="es-ES" w:eastAsia="en-US" w:bidi="ar-SA"/>
      </w:rPr>
    </w:lvl>
    <w:lvl w:ilvl="8" w:tplc="A75AA056">
      <w:numFmt w:val="bullet"/>
      <w:lvlText w:val="•"/>
      <w:lvlJc w:val="left"/>
      <w:pPr>
        <w:ind w:left="7293" w:hanging="358"/>
      </w:pPr>
      <w:rPr>
        <w:rFonts w:hint="default"/>
        <w:lang w:val="es-ES" w:eastAsia="en-US" w:bidi="ar-SA"/>
      </w:rPr>
    </w:lvl>
  </w:abstractNum>
  <w:abstractNum w:abstractNumId="26" w15:restartNumberingAfterBreak="0">
    <w:nsid w:val="73362914"/>
    <w:multiLevelType w:val="multilevel"/>
    <w:tmpl w:val="5F3286B8"/>
    <w:lvl w:ilvl="0">
      <w:start w:val="3"/>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5161DDE"/>
    <w:multiLevelType w:val="hybridMultilevel"/>
    <w:tmpl w:val="DA6AA638"/>
    <w:lvl w:ilvl="0" w:tplc="9E860C36">
      <w:start w:val="1"/>
      <w:numFmt w:val="lowerRoman"/>
      <w:lvlText w:val="(%1)"/>
      <w:lvlJc w:val="left"/>
      <w:pPr>
        <w:ind w:left="896" w:hanging="720"/>
      </w:pPr>
      <w:rPr>
        <w:rFonts w:hint="default"/>
      </w:rPr>
    </w:lvl>
    <w:lvl w:ilvl="1" w:tplc="0C0A0019" w:tentative="1">
      <w:start w:val="1"/>
      <w:numFmt w:val="lowerLetter"/>
      <w:lvlText w:val="%2."/>
      <w:lvlJc w:val="left"/>
      <w:pPr>
        <w:ind w:left="1256" w:hanging="360"/>
      </w:pPr>
    </w:lvl>
    <w:lvl w:ilvl="2" w:tplc="0C0A001B" w:tentative="1">
      <w:start w:val="1"/>
      <w:numFmt w:val="lowerRoman"/>
      <w:lvlText w:val="%3."/>
      <w:lvlJc w:val="right"/>
      <w:pPr>
        <w:ind w:left="1976" w:hanging="180"/>
      </w:pPr>
    </w:lvl>
    <w:lvl w:ilvl="3" w:tplc="0C0A000F" w:tentative="1">
      <w:start w:val="1"/>
      <w:numFmt w:val="decimal"/>
      <w:lvlText w:val="%4."/>
      <w:lvlJc w:val="left"/>
      <w:pPr>
        <w:ind w:left="2696" w:hanging="360"/>
      </w:pPr>
    </w:lvl>
    <w:lvl w:ilvl="4" w:tplc="0C0A0019" w:tentative="1">
      <w:start w:val="1"/>
      <w:numFmt w:val="lowerLetter"/>
      <w:lvlText w:val="%5."/>
      <w:lvlJc w:val="left"/>
      <w:pPr>
        <w:ind w:left="3416" w:hanging="360"/>
      </w:pPr>
    </w:lvl>
    <w:lvl w:ilvl="5" w:tplc="0C0A001B" w:tentative="1">
      <w:start w:val="1"/>
      <w:numFmt w:val="lowerRoman"/>
      <w:lvlText w:val="%6."/>
      <w:lvlJc w:val="right"/>
      <w:pPr>
        <w:ind w:left="4136" w:hanging="180"/>
      </w:pPr>
    </w:lvl>
    <w:lvl w:ilvl="6" w:tplc="0C0A000F" w:tentative="1">
      <w:start w:val="1"/>
      <w:numFmt w:val="decimal"/>
      <w:lvlText w:val="%7."/>
      <w:lvlJc w:val="left"/>
      <w:pPr>
        <w:ind w:left="4856" w:hanging="360"/>
      </w:pPr>
    </w:lvl>
    <w:lvl w:ilvl="7" w:tplc="0C0A0019" w:tentative="1">
      <w:start w:val="1"/>
      <w:numFmt w:val="lowerLetter"/>
      <w:lvlText w:val="%8."/>
      <w:lvlJc w:val="left"/>
      <w:pPr>
        <w:ind w:left="5576" w:hanging="360"/>
      </w:pPr>
    </w:lvl>
    <w:lvl w:ilvl="8" w:tplc="0C0A001B" w:tentative="1">
      <w:start w:val="1"/>
      <w:numFmt w:val="lowerRoman"/>
      <w:lvlText w:val="%9."/>
      <w:lvlJc w:val="right"/>
      <w:pPr>
        <w:ind w:left="6296" w:hanging="180"/>
      </w:pPr>
    </w:lvl>
  </w:abstractNum>
  <w:abstractNum w:abstractNumId="28" w15:restartNumberingAfterBreak="0">
    <w:nsid w:val="75701A2C"/>
    <w:multiLevelType w:val="hybridMultilevel"/>
    <w:tmpl w:val="8E7A6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BD15AA8"/>
    <w:multiLevelType w:val="hybridMultilevel"/>
    <w:tmpl w:val="98FEDC5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519654790">
    <w:abstractNumId w:val="25"/>
  </w:num>
  <w:num w:numId="2" w16cid:durableId="63573297">
    <w:abstractNumId w:val="29"/>
  </w:num>
  <w:num w:numId="3" w16cid:durableId="1028409407">
    <w:abstractNumId w:val="19"/>
  </w:num>
  <w:num w:numId="4" w16cid:durableId="61173942">
    <w:abstractNumId w:val="27"/>
  </w:num>
  <w:num w:numId="5" w16cid:durableId="864710040">
    <w:abstractNumId w:val="22"/>
  </w:num>
  <w:num w:numId="6" w16cid:durableId="80565780">
    <w:abstractNumId w:val="0"/>
  </w:num>
  <w:num w:numId="7" w16cid:durableId="1539512736">
    <w:abstractNumId w:val="14"/>
  </w:num>
  <w:num w:numId="8" w16cid:durableId="1572347902">
    <w:abstractNumId w:val="4"/>
  </w:num>
  <w:num w:numId="9" w16cid:durableId="1528369682">
    <w:abstractNumId w:val="10"/>
  </w:num>
  <w:num w:numId="10" w16cid:durableId="1608736463">
    <w:abstractNumId w:val="15"/>
  </w:num>
  <w:num w:numId="11" w16cid:durableId="1220483744">
    <w:abstractNumId w:val="6"/>
  </w:num>
  <w:num w:numId="12" w16cid:durableId="813765749">
    <w:abstractNumId w:val="17"/>
  </w:num>
  <w:num w:numId="13" w16cid:durableId="1387606448">
    <w:abstractNumId w:val="2"/>
  </w:num>
  <w:num w:numId="14" w16cid:durableId="1186095340">
    <w:abstractNumId w:val="13"/>
  </w:num>
  <w:num w:numId="15" w16cid:durableId="122357638">
    <w:abstractNumId w:val="20"/>
  </w:num>
  <w:num w:numId="16" w16cid:durableId="44766066">
    <w:abstractNumId w:val="9"/>
  </w:num>
  <w:num w:numId="17" w16cid:durableId="1416249488">
    <w:abstractNumId w:val="3"/>
  </w:num>
  <w:num w:numId="18" w16cid:durableId="652493488">
    <w:abstractNumId w:val="5"/>
  </w:num>
  <w:num w:numId="19" w16cid:durableId="68425937">
    <w:abstractNumId w:val="18"/>
  </w:num>
  <w:num w:numId="20" w16cid:durableId="2123189251">
    <w:abstractNumId w:val="23"/>
  </w:num>
  <w:num w:numId="21" w16cid:durableId="1604265386">
    <w:abstractNumId w:val="8"/>
  </w:num>
  <w:num w:numId="22" w16cid:durableId="78337186">
    <w:abstractNumId w:val="21"/>
  </w:num>
  <w:num w:numId="23" w16cid:durableId="1656302492">
    <w:abstractNumId w:val="26"/>
  </w:num>
  <w:num w:numId="24" w16cid:durableId="976495201">
    <w:abstractNumId w:val="16"/>
  </w:num>
  <w:num w:numId="25" w16cid:durableId="1787892611">
    <w:abstractNumId w:val="11"/>
  </w:num>
  <w:num w:numId="26" w16cid:durableId="1801339330">
    <w:abstractNumId w:val="12"/>
  </w:num>
  <w:num w:numId="27" w16cid:durableId="1391266582">
    <w:abstractNumId w:val="7"/>
  </w:num>
  <w:num w:numId="28" w16cid:durableId="279000274">
    <w:abstractNumId w:val="1"/>
  </w:num>
  <w:num w:numId="29" w16cid:durableId="1708722379">
    <w:abstractNumId w:val="28"/>
  </w:num>
  <w:num w:numId="30" w16cid:durableId="16903755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G2OYNGgj+dYhNQC1zF8paf4vMqoiYz29+mvr/nhikdUSbO4buSG7jOkIPcJYd4vS730e0kqrizMwcSKWO5huw==" w:salt="hN0BwUbvMXTDy7nKvl8WoQ=="/>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F4A"/>
    <w:rsid w:val="00000C6C"/>
    <w:rsid w:val="00000D24"/>
    <w:rsid w:val="0000120D"/>
    <w:rsid w:val="0000568C"/>
    <w:rsid w:val="0000789E"/>
    <w:rsid w:val="00014EAB"/>
    <w:rsid w:val="0001578E"/>
    <w:rsid w:val="0001628D"/>
    <w:rsid w:val="00016587"/>
    <w:rsid w:val="00017E32"/>
    <w:rsid w:val="00020EAA"/>
    <w:rsid w:val="00022CAB"/>
    <w:rsid w:val="00023FCA"/>
    <w:rsid w:val="00024025"/>
    <w:rsid w:val="00026B8D"/>
    <w:rsid w:val="00027D3F"/>
    <w:rsid w:val="000309AC"/>
    <w:rsid w:val="00031095"/>
    <w:rsid w:val="0003134E"/>
    <w:rsid w:val="00034511"/>
    <w:rsid w:val="00034687"/>
    <w:rsid w:val="00036D74"/>
    <w:rsid w:val="00047A87"/>
    <w:rsid w:val="00052BB3"/>
    <w:rsid w:val="00055223"/>
    <w:rsid w:val="00055819"/>
    <w:rsid w:val="00062A55"/>
    <w:rsid w:val="00063140"/>
    <w:rsid w:val="0006785C"/>
    <w:rsid w:val="000709EE"/>
    <w:rsid w:val="000810CD"/>
    <w:rsid w:val="000823D3"/>
    <w:rsid w:val="00083ABF"/>
    <w:rsid w:val="00084231"/>
    <w:rsid w:val="00086162"/>
    <w:rsid w:val="000914C2"/>
    <w:rsid w:val="00095EAE"/>
    <w:rsid w:val="00096E98"/>
    <w:rsid w:val="000A0865"/>
    <w:rsid w:val="000A44EE"/>
    <w:rsid w:val="000A608D"/>
    <w:rsid w:val="000A7AC0"/>
    <w:rsid w:val="000B1FF3"/>
    <w:rsid w:val="000B330B"/>
    <w:rsid w:val="000B6F97"/>
    <w:rsid w:val="000C0276"/>
    <w:rsid w:val="000C27DF"/>
    <w:rsid w:val="000D080A"/>
    <w:rsid w:val="000D5B7C"/>
    <w:rsid w:val="000D6522"/>
    <w:rsid w:val="000E1572"/>
    <w:rsid w:val="000E1C53"/>
    <w:rsid w:val="000E3A40"/>
    <w:rsid w:val="000E4B65"/>
    <w:rsid w:val="000E50F8"/>
    <w:rsid w:val="000E6833"/>
    <w:rsid w:val="000E7309"/>
    <w:rsid w:val="000E7C5E"/>
    <w:rsid w:val="000F1B94"/>
    <w:rsid w:val="000F2279"/>
    <w:rsid w:val="000F2FBC"/>
    <w:rsid w:val="000F4F29"/>
    <w:rsid w:val="000F58F5"/>
    <w:rsid w:val="000F64C4"/>
    <w:rsid w:val="00100CDF"/>
    <w:rsid w:val="001055E3"/>
    <w:rsid w:val="00105C74"/>
    <w:rsid w:val="0010708F"/>
    <w:rsid w:val="001126BC"/>
    <w:rsid w:val="0011309D"/>
    <w:rsid w:val="001144DF"/>
    <w:rsid w:val="0012094D"/>
    <w:rsid w:val="00120E12"/>
    <w:rsid w:val="00122334"/>
    <w:rsid w:val="00124F44"/>
    <w:rsid w:val="001329E1"/>
    <w:rsid w:val="001332C9"/>
    <w:rsid w:val="00137EE9"/>
    <w:rsid w:val="00150AC4"/>
    <w:rsid w:val="0015210A"/>
    <w:rsid w:val="00152E11"/>
    <w:rsid w:val="0015574E"/>
    <w:rsid w:val="0015713E"/>
    <w:rsid w:val="00157D7C"/>
    <w:rsid w:val="001603D4"/>
    <w:rsid w:val="00160A46"/>
    <w:rsid w:val="001627CB"/>
    <w:rsid w:val="00162BB9"/>
    <w:rsid w:val="0016377E"/>
    <w:rsid w:val="00163C1F"/>
    <w:rsid w:val="00164D6F"/>
    <w:rsid w:val="0017010F"/>
    <w:rsid w:val="00172994"/>
    <w:rsid w:val="00172D4C"/>
    <w:rsid w:val="00172E7D"/>
    <w:rsid w:val="00177051"/>
    <w:rsid w:val="00177B58"/>
    <w:rsid w:val="001833A4"/>
    <w:rsid w:val="001838D6"/>
    <w:rsid w:val="00184B76"/>
    <w:rsid w:val="001856CD"/>
    <w:rsid w:val="00186BDF"/>
    <w:rsid w:val="001878F0"/>
    <w:rsid w:val="001906AF"/>
    <w:rsid w:val="001956E9"/>
    <w:rsid w:val="00197BBD"/>
    <w:rsid w:val="001A17DE"/>
    <w:rsid w:val="001A2B81"/>
    <w:rsid w:val="001B14F0"/>
    <w:rsid w:val="001B488A"/>
    <w:rsid w:val="001C1713"/>
    <w:rsid w:val="001C21A2"/>
    <w:rsid w:val="001C2EB6"/>
    <w:rsid w:val="001C31FA"/>
    <w:rsid w:val="001C37D7"/>
    <w:rsid w:val="001C3EED"/>
    <w:rsid w:val="001C444A"/>
    <w:rsid w:val="001C447C"/>
    <w:rsid w:val="001C777F"/>
    <w:rsid w:val="001C79D7"/>
    <w:rsid w:val="001D2BA7"/>
    <w:rsid w:val="001D39A6"/>
    <w:rsid w:val="001D5EA5"/>
    <w:rsid w:val="001D624F"/>
    <w:rsid w:val="001E0AF1"/>
    <w:rsid w:val="001E0BCF"/>
    <w:rsid w:val="001E374C"/>
    <w:rsid w:val="001E49CE"/>
    <w:rsid w:val="001E57A0"/>
    <w:rsid w:val="001E6030"/>
    <w:rsid w:val="001E79EF"/>
    <w:rsid w:val="001E7E4F"/>
    <w:rsid w:val="001F483D"/>
    <w:rsid w:val="001F6311"/>
    <w:rsid w:val="0020112C"/>
    <w:rsid w:val="00202369"/>
    <w:rsid w:val="00203E13"/>
    <w:rsid w:val="0020411F"/>
    <w:rsid w:val="0020473D"/>
    <w:rsid w:val="00205337"/>
    <w:rsid w:val="00206E35"/>
    <w:rsid w:val="002113D8"/>
    <w:rsid w:val="00213EC9"/>
    <w:rsid w:val="002178F6"/>
    <w:rsid w:val="0021793C"/>
    <w:rsid w:val="00221568"/>
    <w:rsid w:val="00222608"/>
    <w:rsid w:val="002230CC"/>
    <w:rsid w:val="00224495"/>
    <w:rsid w:val="002276AF"/>
    <w:rsid w:val="002317AB"/>
    <w:rsid w:val="00235366"/>
    <w:rsid w:val="00237E64"/>
    <w:rsid w:val="002406AD"/>
    <w:rsid w:val="00242258"/>
    <w:rsid w:val="002434B9"/>
    <w:rsid w:val="002434EC"/>
    <w:rsid w:val="00243AB4"/>
    <w:rsid w:val="00243D38"/>
    <w:rsid w:val="002443EB"/>
    <w:rsid w:val="0024788B"/>
    <w:rsid w:val="00247967"/>
    <w:rsid w:val="002500DF"/>
    <w:rsid w:val="00253359"/>
    <w:rsid w:val="00255BED"/>
    <w:rsid w:val="0025640E"/>
    <w:rsid w:val="0025702B"/>
    <w:rsid w:val="002614CC"/>
    <w:rsid w:val="0026601C"/>
    <w:rsid w:val="002719A9"/>
    <w:rsid w:val="002740C9"/>
    <w:rsid w:val="00275CF7"/>
    <w:rsid w:val="00276F2D"/>
    <w:rsid w:val="00280587"/>
    <w:rsid w:val="002847DF"/>
    <w:rsid w:val="00284E9C"/>
    <w:rsid w:val="00285B30"/>
    <w:rsid w:val="00286275"/>
    <w:rsid w:val="0028709F"/>
    <w:rsid w:val="00287653"/>
    <w:rsid w:val="00291698"/>
    <w:rsid w:val="002916B4"/>
    <w:rsid w:val="0029246C"/>
    <w:rsid w:val="00294AA4"/>
    <w:rsid w:val="002957B8"/>
    <w:rsid w:val="00295D42"/>
    <w:rsid w:val="002A3EE8"/>
    <w:rsid w:val="002A4593"/>
    <w:rsid w:val="002A45A5"/>
    <w:rsid w:val="002A4703"/>
    <w:rsid w:val="002B2C46"/>
    <w:rsid w:val="002B3DE0"/>
    <w:rsid w:val="002B5C66"/>
    <w:rsid w:val="002C483F"/>
    <w:rsid w:val="002C4E18"/>
    <w:rsid w:val="002C5125"/>
    <w:rsid w:val="002D0F1F"/>
    <w:rsid w:val="002D13FE"/>
    <w:rsid w:val="002D14F1"/>
    <w:rsid w:val="002D1512"/>
    <w:rsid w:val="002D17DA"/>
    <w:rsid w:val="002D3E7D"/>
    <w:rsid w:val="002D5CD2"/>
    <w:rsid w:val="002D7DB1"/>
    <w:rsid w:val="002E008D"/>
    <w:rsid w:val="002E36E6"/>
    <w:rsid w:val="002E75CE"/>
    <w:rsid w:val="002F36CD"/>
    <w:rsid w:val="002F44F2"/>
    <w:rsid w:val="002F513E"/>
    <w:rsid w:val="00300B3A"/>
    <w:rsid w:val="00306A18"/>
    <w:rsid w:val="003109AC"/>
    <w:rsid w:val="00310AF4"/>
    <w:rsid w:val="00311130"/>
    <w:rsid w:val="00316CBA"/>
    <w:rsid w:val="0032275C"/>
    <w:rsid w:val="00325112"/>
    <w:rsid w:val="0032720F"/>
    <w:rsid w:val="00331D50"/>
    <w:rsid w:val="003327E4"/>
    <w:rsid w:val="003328B0"/>
    <w:rsid w:val="00334936"/>
    <w:rsid w:val="00335E5B"/>
    <w:rsid w:val="0034391E"/>
    <w:rsid w:val="00345017"/>
    <w:rsid w:val="00345D3E"/>
    <w:rsid w:val="0034602D"/>
    <w:rsid w:val="00355377"/>
    <w:rsid w:val="00355E1A"/>
    <w:rsid w:val="00356F31"/>
    <w:rsid w:val="00361CB6"/>
    <w:rsid w:val="003652B0"/>
    <w:rsid w:val="0037069C"/>
    <w:rsid w:val="00370A2E"/>
    <w:rsid w:val="00372FB2"/>
    <w:rsid w:val="00373911"/>
    <w:rsid w:val="00373A2D"/>
    <w:rsid w:val="00375C7B"/>
    <w:rsid w:val="00376E09"/>
    <w:rsid w:val="00380F7B"/>
    <w:rsid w:val="00381E43"/>
    <w:rsid w:val="0038722B"/>
    <w:rsid w:val="00387EFD"/>
    <w:rsid w:val="003938A6"/>
    <w:rsid w:val="00396D33"/>
    <w:rsid w:val="003A1143"/>
    <w:rsid w:val="003A4503"/>
    <w:rsid w:val="003A6025"/>
    <w:rsid w:val="003A6B56"/>
    <w:rsid w:val="003B078F"/>
    <w:rsid w:val="003B0E7F"/>
    <w:rsid w:val="003B1389"/>
    <w:rsid w:val="003B14A0"/>
    <w:rsid w:val="003B2F98"/>
    <w:rsid w:val="003B405D"/>
    <w:rsid w:val="003B7F65"/>
    <w:rsid w:val="003C071C"/>
    <w:rsid w:val="003C1638"/>
    <w:rsid w:val="003C17BD"/>
    <w:rsid w:val="003D28D3"/>
    <w:rsid w:val="003D3662"/>
    <w:rsid w:val="003D4473"/>
    <w:rsid w:val="003D68BF"/>
    <w:rsid w:val="003E0CC4"/>
    <w:rsid w:val="003E354D"/>
    <w:rsid w:val="003E3674"/>
    <w:rsid w:val="003E39AD"/>
    <w:rsid w:val="003E5E1E"/>
    <w:rsid w:val="003E7894"/>
    <w:rsid w:val="003F1C31"/>
    <w:rsid w:val="003F37CC"/>
    <w:rsid w:val="003F580C"/>
    <w:rsid w:val="003F7BAC"/>
    <w:rsid w:val="00405D74"/>
    <w:rsid w:val="00410338"/>
    <w:rsid w:val="00410B4A"/>
    <w:rsid w:val="00413569"/>
    <w:rsid w:val="00420536"/>
    <w:rsid w:val="00421959"/>
    <w:rsid w:val="0042263A"/>
    <w:rsid w:val="00422850"/>
    <w:rsid w:val="004241B7"/>
    <w:rsid w:val="00426EC1"/>
    <w:rsid w:val="0043216B"/>
    <w:rsid w:val="00432E5A"/>
    <w:rsid w:val="00435DD8"/>
    <w:rsid w:val="00436549"/>
    <w:rsid w:val="00437FA9"/>
    <w:rsid w:val="0044404F"/>
    <w:rsid w:val="00445123"/>
    <w:rsid w:val="00450C7B"/>
    <w:rsid w:val="00451EB9"/>
    <w:rsid w:val="00453B48"/>
    <w:rsid w:val="004558CF"/>
    <w:rsid w:val="004571B3"/>
    <w:rsid w:val="00461732"/>
    <w:rsid w:val="00463221"/>
    <w:rsid w:val="00464AC5"/>
    <w:rsid w:val="00465237"/>
    <w:rsid w:val="00466BD7"/>
    <w:rsid w:val="004740ED"/>
    <w:rsid w:val="0047414F"/>
    <w:rsid w:val="0047417E"/>
    <w:rsid w:val="00474A85"/>
    <w:rsid w:val="00475C58"/>
    <w:rsid w:val="00476196"/>
    <w:rsid w:val="00480EC7"/>
    <w:rsid w:val="0048480C"/>
    <w:rsid w:val="00484D32"/>
    <w:rsid w:val="00492604"/>
    <w:rsid w:val="00492BA9"/>
    <w:rsid w:val="004A0A11"/>
    <w:rsid w:val="004A0E66"/>
    <w:rsid w:val="004A21F3"/>
    <w:rsid w:val="004A56FA"/>
    <w:rsid w:val="004B2035"/>
    <w:rsid w:val="004B2401"/>
    <w:rsid w:val="004B5AEA"/>
    <w:rsid w:val="004C0CB6"/>
    <w:rsid w:val="004C37EB"/>
    <w:rsid w:val="004C3DD8"/>
    <w:rsid w:val="004C6649"/>
    <w:rsid w:val="004D5A66"/>
    <w:rsid w:val="004D6478"/>
    <w:rsid w:val="004D6DC8"/>
    <w:rsid w:val="004E0258"/>
    <w:rsid w:val="004E4904"/>
    <w:rsid w:val="004F0790"/>
    <w:rsid w:val="004F0A68"/>
    <w:rsid w:val="004F0D50"/>
    <w:rsid w:val="004F23CA"/>
    <w:rsid w:val="004F24C6"/>
    <w:rsid w:val="004F2537"/>
    <w:rsid w:val="004F2A14"/>
    <w:rsid w:val="004F7683"/>
    <w:rsid w:val="005007AF"/>
    <w:rsid w:val="005021ED"/>
    <w:rsid w:val="005026E1"/>
    <w:rsid w:val="00503354"/>
    <w:rsid w:val="00507368"/>
    <w:rsid w:val="005076D0"/>
    <w:rsid w:val="0051114B"/>
    <w:rsid w:val="00512241"/>
    <w:rsid w:val="0051288E"/>
    <w:rsid w:val="00512F93"/>
    <w:rsid w:val="005165A0"/>
    <w:rsid w:val="00516D98"/>
    <w:rsid w:val="00522BB2"/>
    <w:rsid w:val="00525196"/>
    <w:rsid w:val="00526447"/>
    <w:rsid w:val="00530330"/>
    <w:rsid w:val="00530D03"/>
    <w:rsid w:val="00531115"/>
    <w:rsid w:val="00531BF9"/>
    <w:rsid w:val="005426DB"/>
    <w:rsid w:val="0054491F"/>
    <w:rsid w:val="00546E0A"/>
    <w:rsid w:val="00547828"/>
    <w:rsid w:val="00547FFB"/>
    <w:rsid w:val="005507B7"/>
    <w:rsid w:val="005511F7"/>
    <w:rsid w:val="00552071"/>
    <w:rsid w:val="00552E40"/>
    <w:rsid w:val="005541DE"/>
    <w:rsid w:val="00554D38"/>
    <w:rsid w:val="0055558B"/>
    <w:rsid w:val="00560BFA"/>
    <w:rsid w:val="005627FB"/>
    <w:rsid w:val="00563CF5"/>
    <w:rsid w:val="00567836"/>
    <w:rsid w:val="005724FD"/>
    <w:rsid w:val="00573FD1"/>
    <w:rsid w:val="00577B75"/>
    <w:rsid w:val="005838F4"/>
    <w:rsid w:val="00584E04"/>
    <w:rsid w:val="00586950"/>
    <w:rsid w:val="005909D8"/>
    <w:rsid w:val="00593647"/>
    <w:rsid w:val="00593F97"/>
    <w:rsid w:val="00594125"/>
    <w:rsid w:val="005947CF"/>
    <w:rsid w:val="005A15F7"/>
    <w:rsid w:val="005A1C52"/>
    <w:rsid w:val="005A3E42"/>
    <w:rsid w:val="005A4FBC"/>
    <w:rsid w:val="005A5296"/>
    <w:rsid w:val="005A665A"/>
    <w:rsid w:val="005B3C21"/>
    <w:rsid w:val="005B4632"/>
    <w:rsid w:val="005B662E"/>
    <w:rsid w:val="005B6DDB"/>
    <w:rsid w:val="005B7DDA"/>
    <w:rsid w:val="005C5EE1"/>
    <w:rsid w:val="005D0855"/>
    <w:rsid w:val="005D2112"/>
    <w:rsid w:val="005D2592"/>
    <w:rsid w:val="005D28A8"/>
    <w:rsid w:val="005D32FE"/>
    <w:rsid w:val="005E000F"/>
    <w:rsid w:val="005E3E71"/>
    <w:rsid w:val="005E7F70"/>
    <w:rsid w:val="005F3A86"/>
    <w:rsid w:val="005F40BE"/>
    <w:rsid w:val="005F4566"/>
    <w:rsid w:val="005F48CA"/>
    <w:rsid w:val="005F79A3"/>
    <w:rsid w:val="0060132B"/>
    <w:rsid w:val="00601746"/>
    <w:rsid w:val="006025F5"/>
    <w:rsid w:val="00603ABC"/>
    <w:rsid w:val="006042CF"/>
    <w:rsid w:val="006152D2"/>
    <w:rsid w:val="00616016"/>
    <w:rsid w:val="006179E3"/>
    <w:rsid w:val="00620C5A"/>
    <w:rsid w:val="00621E76"/>
    <w:rsid w:val="00623825"/>
    <w:rsid w:val="00627A8C"/>
    <w:rsid w:val="00627B44"/>
    <w:rsid w:val="00630444"/>
    <w:rsid w:val="00632EAC"/>
    <w:rsid w:val="00646D06"/>
    <w:rsid w:val="006472EF"/>
    <w:rsid w:val="00650436"/>
    <w:rsid w:val="00652014"/>
    <w:rsid w:val="0065268B"/>
    <w:rsid w:val="00653837"/>
    <w:rsid w:val="006551B5"/>
    <w:rsid w:val="006554EA"/>
    <w:rsid w:val="00656234"/>
    <w:rsid w:val="00665637"/>
    <w:rsid w:val="00665EA9"/>
    <w:rsid w:val="00667ADE"/>
    <w:rsid w:val="00673D4D"/>
    <w:rsid w:val="00674269"/>
    <w:rsid w:val="006828A8"/>
    <w:rsid w:val="0068309A"/>
    <w:rsid w:val="006830C7"/>
    <w:rsid w:val="00685D86"/>
    <w:rsid w:val="006863D1"/>
    <w:rsid w:val="006867D8"/>
    <w:rsid w:val="00693A6E"/>
    <w:rsid w:val="00695C62"/>
    <w:rsid w:val="00696E32"/>
    <w:rsid w:val="006A3477"/>
    <w:rsid w:val="006A678B"/>
    <w:rsid w:val="006B262E"/>
    <w:rsid w:val="006B4BB6"/>
    <w:rsid w:val="006B4F6A"/>
    <w:rsid w:val="006B55AA"/>
    <w:rsid w:val="006B6112"/>
    <w:rsid w:val="006B699E"/>
    <w:rsid w:val="006B6DA2"/>
    <w:rsid w:val="006C1B1B"/>
    <w:rsid w:val="006C2523"/>
    <w:rsid w:val="006C2D95"/>
    <w:rsid w:val="006C4D92"/>
    <w:rsid w:val="006D1AAF"/>
    <w:rsid w:val="006D3161"/>
    <w:rsid w:val="006D4174"/>
    <w:rsid w:val="006D5325"/>
    <w:rsid w:val="006D6D5C"/>
    <w:rsid w:val="006E260E"/>
    <w:rsid w:val="006F17F0"/>
    <w:rsid w:val="006F228C"/>
    <w:rsid w:val="006F63F3"/>
    <w:rsid w:val="006F71E7"/>
    <w:rsid w:val="00704138"/>
    <w:rsid w:val="00705770"/>
    <w:rsid w:val="007067E0"/>
    <w:rsid w:val="00711688"/>
    <w:rsid w:val="007143BB"/>
    <w:rsid w:val="00714D94"/>
    <w:rsid w:val="007165A4"/>
    <w:rsid w:val="00720870"/>
    <w:rsid w:val="00721D2E"/>
    <w:rsid w:val="00721EE6"/>
    <w:rsid w:val="00727E1B"/>
    <w:rsid w:val="00730AEF"/>
    <w:rsid w:val="00731BD3"/>
    <w:rsid w:val="0074312D"/>
    <w:rsid w:val="0074335C"/>
    <w:rsid w:val="0074452D"/>
    <w:rsid w:val="00753C17"/>
    <w:rsid w:val="00756C88"/>
    <w:rsid w:val="007605E7"/>
    <w:rsid w:val="007609CD"/>
    <w:rsid w:val="00762697"/>
    <w:rsid w:val="0076286E"/>
    <w:rsid w:val="007664A7"/>
    <w:rsid w:val="00770DBA"/>
    <w:rsid w:val="00777B33"/>
    <w:rsid w:val="00782076"/>
    <w:rsid w:val="00786297"/>
    <w:rsid w:val="007862D6"/>
    <w:rsid w:val="007874D8"/>
    <w:rsid w:val="00790673"/>
    <w:rsid w:val="00792118"/>
    <w:rsid w:val="00792B84"/>
    <w:rsid w:val="00794EF9"/>
    <w:rsid w:val="0079506F"/>
    <w:rsid w:val="00795C6E"/>
    <w:rsid w:val="0079713D"/>
    <w:rsid w:val="007A04B8"/>
    <w:rsid w:val="007A2842"/>
    <w:rsid w:val="007A30A5"/>
    <w:rsid w:val="007A401C"/>
    <w:rsid w:val="007A74C8"/>
    <w:rsid w:val="007B024E"/>
    <w:rsid w:val="007B16D2"/>
    <w:rsid w:val="007B28A5"/>
    <w:rsid w:val="007B47B6"/>
    <w:rsid w:val="007B5293"/>
    <w:rsid w:val="007B5686"/>
    <w:rsid w:val="007B62B0"/>
    <w:rsid w:val="007C09A8"/>
    <w:rsid w:val="007C2B43"/>
    <w:rsid w:val="007C31B0"/>
    <w:rsid w:val="007C3314"/>
    <w:rsid w:val="007C3AC6"/>
    <w:rsid w:val="007C41F0"/>
    <w:rsid w:val="007C68D8"/>
    <w:rsid w:val="007D0783"/>
    <w:rsid w:val="007D2F81"/>
    <w:rsid w:val="007D7326"/>
    <w:rsid w:val="007E0014"/>
    <w:rsid w:val="007E05A4"/>
    <w:rsid w:val="007E2D8E"/>
    <w:rsid w:val="007E7A23"/>
    <w:rsid w:val="007E7EB2"/>
    <w:rsid w:val="007F2E05"/>
    <w:rsid w:val="007F3442"/>
    <w:rsid w:val="007F61A5"/>
    <w:rsid w:val="00800A2F"/>
    <w:rsid w:val="008017D7"/>
    <w:rsid w:val="00802042"/>
    <w:rsid w:val="00803D95"/>
    <w:rsid w:val="00803DF0"/>
    <w:rsid w:val="00803F9D"/>
    <w:rsid w:val="00806E76"/>
    <w:rsid w:val="008108CE"/>
    <w:rsid w:val="008156B0"/>
    <w:rsid w:val="00815FAB"/>
    <w:rsid w:val="008213F6"/>
    <w:rsid w:val="00822032"/>
    <w:rsid w:val="00822F15"/>
    <w:rsid w:val="00824DB0"/>
    <w:rsid w:val="00830B1F"/>
    <w:rsid w:val="00831447"/>
    <w:rsid w:val="008325D7"/>
    <w:rsid w:val="008376AC"/>
    <w:rsid w:val="008429C3"/>
    <w:rsid w:val="008447B1"/>
    <w:rsid w:val="00844FC5"/>
    <w:rsid w:val="00845619"/>
    <w:rsid w:val="008467FB"/>
    <w:rsid w:val="00847496"/>
    <w:rsid w:val="00847707"/>
    <w:rsid w:val="0085111A"/>
    <w:rsid w:val="008548CD"/>
    <w:rsid w:val="00856960"/>
    <w:rsid w:val="00861B2F"/>
    <w:rsid w:val="00861D36"/>
    <w:rsid w:val="00862E0D"/>
    <w:rsid w:val="00866D7D"/>
    <w:rsid w:val="00867B42"/>
    <w:rsid w:val="00874C23"/>
    <w:rsid w:val="00874D5E"/>
    <w:rsid w:val="00876AD2"/>
    <w:rsid w:val="00881DE6"/>
    <w:rsid w:val="00882D27"/>
    <w:rsid w:val="00886FE4"/>
    <w:rsid w:val="00890E89"/>
    <w:rsid w:val="00892AE0"/>
    <w:rsid w:val="0089507B"/>
    <w:rsid w:val="0089614C"/>
    <w:rsid w:val="008965CB"/>
    <w:rsid w:val="008A2796"/>
    <w:rsid w:val="008A51D1"/>
    <w:rsid w:val="008A6A8C"/>
    <w:rsid w:val="008B1013"/>
    <w:rsid w:val="008B1E4D"/>
    <w:rsid w:val="008B2C9A"/>
    <w:rsid w:val="008B4E9D"/>
    <w:rsid w:val="008B71FB"/>
    <w:rsid w:val="008B73EF"/>
    <w:rsid w:val="008B78CB"/>
    <w:rsid w:val="008C0019"/>
    <w:rsid w:val="008C052F"/>
    <w:rsid w:val="008C0A51"/>
    <w:rsid w:val="008C1A97"/>
    <w:rsid w:val="008C326A"/>
    <w:rsid w:val="008C488F"/>
    <w:rsid w:val="008C4AA0"/>
    <w:rsid w:val="008C4E8C"/>
    <w:rsid w:val="008C5B6D"/>
    <w:rsid w:val="008C728A"/>
    <w:rsid w:val="008D2340"/>
    <w:rsid w:val="008D41E1"/>
    <w:rsid w:val="008D4B4A"/>
    <w:rsid w:val="008D5849"/>
    <w:rsid w:val="008D7945"/>
    <w:rsid w:val="008E20CE"/>
    <w:rsid w:val="008E2712"/>
    <w:rsid w:val="008E40E9"/>
    <w:rsid w:val="008E425C"/>
    <w:rsid w:val="008E6A14"/>
    <w:rsid w:val="008E7434"/>
    <w:rsid w:val="009002DC"/>
    <w:rsid w:val="009025BB"/>
    <w:rsid w:val="009034A6"/>
    <w:rsid w:val="009041E0"/>
    <w:rsid w:val="009149F8"/>
    <w:rsid w:val="0091629A"/>
    <w:rsid w:val="0091694D"/>
    <w:rsid w:val="0091767E"/>
    <w:rsid w:val="00922742"/>
    <w:rsid w:val="009300C7"/>
    <w:rsid w:val="0093170D"/>
    <w:rsid w:val="00931A1F"/>
    <w:rsid w:val="00933D7F"/>
    <w:rsid w:val="00941143"/>
    <w:rsid w:val="00942905"/>
    <w:rsid w:val="00943F7C"/>
    <w:rsid w:val="00945A5A"/>
    <w:rsid w:val="0094756E"/>
    <w:rsid w:val="00947717"/>
    <w:rsid w:val="0095048F"/>
    <w:rsid w:val="00952EDF"/>
    <w:rsid w:val="00954C9A"/>
    <w:rsid w:val="009555D3"/>
    <w:rsid w:val="00957606"/>
    <w:rsid w:val="00961FF5"/>
    <w:rsid w:val="00964CC1"/>
    <w:rsid w:val="009734DB"/>
    <w:rsid w:val="0097396B"/>
    <w:rsid w:val="00974925"/>
    <w:rsid w:val="009751B4"/>
    <w:rsid w:val="009800F1"/>
    <w:rsid w:val="00980537"/>
    <w:rsid w:val="0098072A"/>
    <w:rsid w:val="00987FD6"/>
    <w:rsid w:val="00987FE7"/>
    <w:rsid w:val="00991846"/>
    <w:rsid w:val="0099208D"/>
    <w:rsid w:val="00993699"/>
    <w:rsid w:val="009957D0"/>
    <w:rsid w:val="009964A0"/>
    <w:rsid w:val="009964A3"/>
    <w:rsid w:val="009971E8"/>
    <w:rsid w:val="0099790B"/>
    <w:rsid w:val="009A11BC"/>
    <w:rsid w:val="009A1421"/>
    <w:rsid w:val="009A42CF"/>
    <w:rsid w:val="009A545C"/>
    <w:rsid w:val="009B2CBA"/>
    <w:rsid w:val="009B3F10"/>
    <w:rsid w:val="009B4391"/>
    <w:rsid w:val="009B4B10"/>
    <w:rsid w:val="009C38F5"/>
    <w:rsid w:val="009C56BB"/>
    <w:rsid w:val="009D0410"/>
    <w:rsid w:val="009D35E3"/>
    <w:rsid w:val="009D3F07"/>
    <w:rsid w:val="009D5D74"/>
    <w:rsid w:val="009D7FE3"/>
    <w:rsid w:val="009E24E2"/>
    <w:rsid w:val="009E333C"/>
    <w:rsid w:val="009E6F4A"/>
    <w:rsid w:val="009E756F"/>
    <w:rsid w:val="009F092F"/>
    <w:rsid w:val="009F09A6"/>
    <w:rsid w:val="009F0C32"/>
    <w:rsid w:val="009F0DBA"/>
    <w:rsid w:val="009F1D58"/>
    <w:rsid w:val="009F60C0"/>
    <w:rsid w:val="009F74FE"/>
    <w:rsid w:val="00A0041A"/>
    <w:rsid w:val="00A0563F"/>
    <w:rsid w:val="00A0591D"/>
    <w:rsid w:val="00A07B36"/>
    <w:rsid w:val="00A07FE2"/>
    <w:rsid w:val="00A10575"/>
    <w:rsid w:val="00A13742"/>
    <w:rsid w:val="00A1491A"/>
    <w:rsid w:val="00A151A7"/>
    <w:rsid w:val="00A15468"/>
    <w:rsid w:val="00A225BE"/>
    <w:rsid w:val="00A31F39"/>
    <w:rsid w:val="00A333A6"/>
    <w:rsid w:val="00A349EF"/>
    <w:rsid w:val="00A41848"/>
    <w:rsid w:val="00A4343E"/>
    <w:rsid w:val="00A4668E"/>
    <w:rsid w:val="00A467CA"/>
    <w:rsid w:val="00A476D3"/>
    <w:rsid w:val="00A47E55"/>
    <w:rsid w:val="00A5477B"/>
    <w:rsid w:val="00A5636B"/>
    <w:rsid w:val="00A61012"/>
    <w:rsid w:val="00A63DDE"/>
    <w:rsid w:val="00A6406F"/>
    <w:rsid w:val="00A673EC"/>
    <w:rsid w:val="00A72931"/>
    <w:rsid w:val="00A75E10"/>
    <w:rsid w:val="00A8031B"/>
    <w:rsid w:val="00A81C01"/>
    <w:rsid w:val="00A82376"/>
    <w:rsid w:val="00A831C9"/>
    <w:rsid w:val="00A83285"/>
    <w:rsid w:val="00A839E7"/>
    <w:rsid w:val="00A87519"/>
    <w:rsid w:val="00A90F79"/>
    <w:rsid w:val="00A9126B"/>
    <w:rsid w:val="00A9239C"/>
    <w:rsid w:val="00A934C0"/>
    <w:rsid w:val="00A957E8"/>
    <w:rsid w:val="00A97AC2"/>
    <w:rsid w:val="00AA0529"/>
    <w:rsid w:val="00AA2717"/>
    <w:rsid w:val="00AA575E"/>
    <w:rsid w:val="00AA7A7D"/>
    <w:rsid w:val="00AB02B1"/>
    <w:rsid w:val="00AB1665"/>
    <w:rsid w:val="00AB16A9"/>
    <w:rsid w:val="00AB1A51"/>
    <w:rsid w:val="00AB2790"/>
    <w:rsid w:val="00AB3AEC"/>
    <w:rsid w:val="00AB3C61"/>
    <w:rsid w:val="00AB429B"/>
    <w:rsid w:val="00AB5A54"/>
    <w:rsid w:val="00AC2834"/>
    <w:rsid w:val="00AC2E1F"/>
    <w:rsid w:val="00AC3617"/>
    <w:rsid w:val="00AC5602"/>
    <w:rsid w:val="00AC5976"/>
    <w:rsid w:val="00AC7A03"/>
    <w:rsid w:val="00AD1F92"/>
    <w:rsid w:val="00AD4C8D"/>
    <w:rsid w:val="00AD544B"/>
    <w:rsid w:val="00AD5D49"/>
    <w:rsid w:val="00AD762C"/>
    <w:rsid w:val="00AD78A2"/>
    <w:rsid w:val="00AD7F65"/>
    <w:rsid w:val="00AF12B4"/>
    <w:rsid w:val="00AF2A85"/>
    <w:rsid w:val="00AF4BCB"/>
    <w:rsid w:val="00AF6593"/>
    <w:rsid w:val="00AF7163"/>
    <w:rsid w:val="00B00F68"/>
    <w:rsid w:val="00B01DC0"/>
    <w:rsid w:val="00B06F2A"/>
    <w:rsid w:val="00B13E05"/>
    <w:rsid w:val="00B14722"/>
    <w:rsid w:val="00B14D9F"/>
    <w:rsid w:val="00B1582C"/>
    <w:rsid w:val="00B20559"/>
    <w:rsid w:val="00B20E44"/>
    <w:rsid w:val="00B22E76"/>
    <w:rsid w:val="00B249F8"/>
    <w:rsid w:val="00B3128A"/>
    <w:rsid w:val="00B31615"/>
    <w:rsid w:val="00B318D1"/>
    <w:rsid w:val="00B31EF0"/>
    <w:rsid w:val="00B32621"/>
    <w:rsid w:val="00B34420"/>
    <w:rsid w:val="00B36EE9"/>
    <w:rsid w:val="00B40C32"/>
    <w:rsid w:val="00B415EA"/>
    <w:rsid w:val="00B44312"/>
    <w:rsid w:val="00B44B63"/>
    <w:rsid w:val="00B4702D"/>
    <w:rsid w:val="00B51D0D"/>
    <w:rsid w:val="00B556D3"/>
    <w:rsid w:val="00B55893"/>
    <w:rsid w:val="00B55C85"/>
    <w:rsid w:val="00B574CF"/>
    <w:rsid w:val="00B634CC"/>
    <w:rsid w:val="00B71BAA"/>
    <w:rsid w:val="00B72539"/>
    <w:rsid w:val="00B73088"/>
    <w:rsid w:val="00B8241B"/>
    <w:rsid w:val="00B82995"/>
    <w:rsid w:val="00B85C9A"/>
    <w:rsid w:val="00B87067"/>
    <w:rsid w:val="00B8767F"/>
    <w:rsid w:val="00B947BB"/>
    <w:rsid w:val="00B954F2"/>
    <w:rsid w:val="00B95BE5"/>
    <w:rsid w:val="00B96204"/>
    <w:rsid w:val="00BA1573"/>
    <w:rsid w:val="00BA3483"/>
    <w:rsid w:val="00BA3975"/>
    <w:rsid w:val="00BA6603"/>
    <w:rsid w:val="00BB35A8"/>
    <w:rsid w:val="00BB599C"/>
    <w:rsid w:val="00BB59E1"/>
    <w:rsid w:val="00BC285F"/>
    <w:rsid w:val="00BC3E45"/>
    <w:rsid w:val="00BC461B"/>
    <w:rsid w:val="00BD218B"/>
    <w:rsid w:val="00BD2A5B"/>
    <w:rsid w:val="00BD2F8B"/>
    <w:rsid w:val="00BD3B7C"/>
    <w:rsid w:val="00BD5184"/>
    <w:rsid w:val="00BD5359"/>
    <w:rsid w:val="00BD673A"/>
    <w:rsid w:val="00BD7665"/>
    <w:rsid w:val="00BE104A"/>
    <w:rsid w:val="00BF0B31"/>
    <w:rsid w:val="00BF14BB"/>
    <w:rsid w:val="00BF2827"/>
    <w:rsid w:val="00BF3D40"/>
    <w:rsid w:val="00BF50A4"/>
    <w:rsid w:val="00BF5198"/>
    <w:rsid w:val="00BF79FC"/>
    <w:rsid w:val="00C00C40"/>
    <w:rsid w:val="00C0644C"/>
    <w:rsid w:val="00C07310"/>
    <w:rsid w:val="00C110B1"/>
    <w:rsid w:val="00C1590B"/>
    <w:rsid w:val="00C20E19"/>
    <w:rsid w:val="00C2180E"/>
    <w:rsid w:val="00C21D16"/>
    <w:rsid w:val="00C22452"/>
    <w:rsid w:val="00C26695"/>
    <w:rsid w:val="00C35A90"/>
    <w:rsid w:val="00C367EA"/>
    <w:rsid w:val="00C4005F"/>
    <w:rsid w:val="00C41CE4"/>
    <w:rsid w:val="00C44E43"/>
    <w:rsid w:val="00C517EF"/>
    <w:rsid w:val="00C53D21"/>
    <w:rsid w:val="00C61A61"/>
    <w:rsid w:val="00C62655"/>
    <w:rsid w:val="00C62E76"/>
    <w:rsid w:val="00C63326"/>
    <w:rsid w:val="00C648FC"/>
    <w:rsid w:val="00C653E8"/>
    <w:rsid w:val="00C6603C"/>
    <w:rsid w:val="00C664B6"/>
    <w:rsid w:val="00C667A1"/>
    <w:rsid w:val="00C70481"/>
    <w:rsid w:val="00C722C8"/>
    <w:rsid w:val="00C73977"/>
    <w:rsid w:val="00C75D60"/>
    <w:rsid w:val="00C764E0"/>
    <w:rsid w:val="00C774D5"/>
    <w:rsid w:val="00C80C4C"/>
    <w:rsid w:val="00C819F6"/>
    <w:rsid w:val="00C81B93"/>
    <w:rsid w:val="00C83D52"/>
    <w:rsid w:val="00C845E5"/>
    <w:rsid w:val="00C908FB"/>
    <w:rsid w:val="00C95D99"/>
    <w:rsid w:val="00C96060"/>
    <w:rsid w:val="00C9720E"/>
    <w:rsid w:val="00CA0FAA"/>
    <w:rsid w:val="00CA4C4B"/>
    <w:rsid w:val="00CA5E7C"/>
    <w:rsid w:val="00CB0286"/>
    <w:rsid w:val="00CB3417"/>
    <w:rsid w:val="00CB4F14"/>
    <w:rsid w:val="00CC1908"/>
    <w:rsid w:val="00CC3E80"/>
    <w:rsid w:val="00CC526F"/>
    <w:rsid w:val="00CC616A"/>
    <w:rsid w:val="00CC753E"/>
    <w:rsid w:val="00CE1358"/>
    <w:rsid w:val="00CE1C9B"/>
    <w:rsid w:val="00CF362E"/>
    <w:rsid w:val="00CF3D27"/>
    <w:rsid w:val="00CF65DE"/>
    <w:rsid w:val="00CF73AF"/>
    <w:rsid w:val="00D0173F"/>
    <w:rsid w:val="00D03AC1"/>
    <w:rsid w:val="00D04542"/>
    <w:rsid w:val="00D1021F"/>
    <w:rsid w:val="00D1133E"/>
    <w:rsid w:val="00D12DB9"/>
    <w:rsid w:val="00D212C7"/>
    <w:rsid w:val="00D240CF"/>
    <w:rsid w:val="00D30178"/>
    <w:rsid w:val="00D34383"/>
    <w:rsid w:val="00D44017"/>
    <w:rsid w:val="00D46780"/>
    <w:rsid w:val="00D56874"/>
    <w:rsid w:val="00D574CB"/>
    <w:rsid w:val="00D63E22"/>
    <w:rsid w:val="00D71D28"/>
    <w:rsid w:val="00D720A4"/>
    <w:rsid w:val="00D73597"/>
    <w:rsid w:val="00D750DD"/>
    <w:rsid w:val="00D76B08"/>
    <w:rsid w:val="00D77BC8"/>
    <w:rsid w:val="00D77DEE"/>
    <w:rsid w:val="00D80EB7"/>
    <w:rsid w:val="00D8144C"/>
    <w:rsid w:val="00D81E19"/>
    <w:rsid w:val="00D8251A"/>
    <w:rsid w:val="00D83302"/>
    <w:rsid w:val="00D84212"/>
    <w:rsid w:val="00D8442D"/>
    <w:rsid w:val="00D8456C"/>
    <w:rsid w:val="00D84A09"/>
    <w:rsid w:val="00D85CDA"/>
    <w:rsid w:val="00D864BB"/>
    <w:rsid w:val="00D86A5F"/>
    <w:rsid w:val="00D90D6A"/>
    <w:rsid w:val="00D93D0F"/>
    <w:rsid w:val="00D96BB7"/>
    <w:rsid w:val="00DA081C"/>
    <w:rsid w:val="00DA0B20"/>
    <w:rsid w:val="00DA33C8"/>
    <w:rsid w:val="00DA548C"/>
    <w:rsid w:val="00DA6CE6"/>
    <w:rsid w:val="00DA76E2"/>
    <w:rsid w:val="00DB1ED1"/>
    <w:rsid w:val="00DB36E9"/>
    <w:rsid w:val="00DB45FF"/>
    <w:rsid w:val="00DB4E51"/>
    <w:rsid w:val="00DC00A5"/>
    <w:rsid w:val="00DC015D"/>
    <w:rsid w:val="00DC1961"/>
    <w:rsid w:val="00DC1C6E"/>
    <w:rsid w:val="00DC663C"/>
    <w:rsid w:val="00DD09E8"/>
    <w:rsid w:val="00DD4081"/>
    <w:rsid w:val="00DD4BCD"/>
    <w:rsid w:val="00DE404F"/>
    <w:rsid w:val="00DE4305"/>
    <w:rsid w:val="00DE5816"/>
    <w:rsid w:val="00DE74FB"/>
    <w:rsid w:val="00DF0894"/>
    <w:rsid w:val="00E00469"/>
    <w:rsid w:val="00E01977"/>
    <w:rsid w:val="00E01BFF"/>
    <w:rsid w:val="00E04042"/>
    <w:rsid w:val="00E0448E"/>
    <w:rsid w:val="00E06848"/>
    <w:rsid w:val="00E138E3"/>
    <w:rsid w:val="00E16F89"/>
    <w:rsid w:val="00E219F5"/>
    <w:rsid w:val="00E27F5C"/>
    <w:rsid w:val="00E30E64"/>
    <w:rsid w:val="00E33A1A"/>
    <w:rsid w:val="00E36ABB"/>
    <w:rsid w:val="00E43113"/>
    <w:rsid w:val="00E43CE4"/>
    <w:rsid w:val="00E51E54"/>
    <w:rsid w:val="00E536B6"/>
    <w:rsid w:val="00E56FA2"/>
    <w:rsid w:val="00E57D6D"/>
    <w:rsid w:val="00E61215"/>
    <w:rsid w:val="00E619F2"/>
    <w:rsid w:val="00E648B2"/>
    <w:rsid w:val="00E6516F"/>
    <w:rsid w:val="00E65B25"/>
    <w:rsid w:val="00E71364"/>
    <w:rsid w:val="00E72277"/>
    <w:rsid w:val="00E73788"/>
    <w:rsid w:val="00E752CA"/>
    <w:rsid w:val="00E8528F"/>
    <w:rsid w:val="00E85B77"/>
    <w:rsid w:val="00E8608D"/>
    <w:rsid w:val="00E909A9"/>
    <w:rsid w:val="00E911A4"/>
    <w:rsid w:val="00EA0BC3"/>
    <w:rsid w:val="00EA212C"/>
    <w:rsid w:val="00EA4031"/>
    <w:rsid w:val="00EA6445"/>
    <w:rsid w:val="00EB13A3"/>
    <w:rsid w:val="00EB18B9"/>
    <w:rsid w:val="00EB7EDF"/>
    <w:rsid w:val="00EC0C9A"/>
    <w:rsid w:val="00EC178D"/>
    <w:rsid w:val="00EC1D23"/>
    <w:rsid w:val="00EC21C0"/>
    <w:rsid w:val="00EC2221"/>
    <w:rsid w:val="00EC2768"/>
    <w:rsid w:val="00EC4A1E"/>
    <w:rsid w:val="00EC53CA"/>
    <w:rsid w:val="00EC5991"/>
    <w:rsid w:val="00ED18BF"/>
    <w:rsid w:val="00ED4F59"/>
    <w:rsid w:val="00ED5A6A"/>
    <w:rsid w:val="00EE4B7A"/>
    <w:rsid w:val="00EE56DE"/>
    <w:rsid w:val="00EF0B28"/>
    <w:rsid w:val="00EF1595"/>
    <w:rsid w:val="00EF172D"/>
    <w:rsid w:val="00EF18FA"/>
    <w:rsid w:val="00EF2F2A"/>
    <w:rsid w:val="00EF58DB"/>
    <w:rsid w:val="00EF6AA1"/>
    <w:rsid w:val="00EF7F9E"/>
    <w:rsid w:val="00F0143B"/>
    <w:rsid w:val="00F047D8"/>
    <w:rsid w:val="00F04FC3"/>
    <w:rsid w:val="00F1201A"/>
    <w:rsid w:val="00F13385"/>
    <w:rsid w:val="00F16653"/>
    <w:rsid w:val="00F17472"/>
    <w:rsid w:val="00F24905"/>
    <w:rsid w:val="00F25555"/>
    <w:rsid w:val="00F26213"/>
    <w:rsid w:val="00F35125"/>
    <w:rsid w:val="00F413A5"/>
    <w:rsid w:val="00F41F1F"/>
    <w:rsid w:val="00F428B1"/>
    <w:rsid w:val="00F44612"/>
    <w:rsid w:val="00F44B59"/>
    <w:rsid w:val="00F458BF"/>
    <w:rsid w:val="00F45B84"/>
    <w:rsid w:val="00F478E6"/>
    <w:rsid w:val="00F47BD4"/>
    <w:rsid w:val="00F47D1A"/>
    <w:rsid w:val="00F517D2"/>
    <w:rsid w:val="00F5599A"/>
    <w:rsid w:val="00F60781"/>
    <w:rsid w:val="00F61231"/>
    <w:rsid w:val="00F619FF"/>
    <w:rsid w:val="00F81F1C"/>
    <w:rsid w:val="00F821E4"/>
    <w:rsid w:val="00F83FB5"/>
    <w:rsid w:val="00F84142"/>
    <w:rsid w:val="00F913C4"/>
    <w:rsid w:val="00F91DE9"/>
    <w:rsid w:val="00F949A8"/>
    <w:rsid w:val="00F97496"/>
    <w:rsid w:val="00F97ECC"/>
    <w:rsid w:val="00FA385C"/>
    <w:rsid w:val="00FA6A04"/>
    <w:rsid w:val="00FA6B45"/>
    <w:rsid w:val="00FA705B"/>
    <w:rsid w:val="00FB0898"/>
    <w:rsid w:val="00FB1931"/>
    <w:rsid w:val="00FB3EF0"/>
    <w:rsid w:val="00FB6A73"/>
    <w:rsid w:val="00FB76A4"/>
    <w:rsid w:val="00FB7D1A"/>
    <w:rsid w:val="00FC3B4C"/>
    <w:rsid w:val="00FC6353"/>
    <w:rsid w:val="00FC6B46"/>
    <w:rsid w:val="00FC7795"/>
    <w:rsid w:val="00FD0942"/>
    <w:rsid w:val="00FD640B"/>
    <w:rsid w:val="00FD6F72"/>
    <w:rsid w:val="00FE01E2"/>
    <w:rsid w:val="00FE0A09"/>
    <w:rsid w:val="00FE15F7"/>
    <w:rsid w:val="00FE2E60"/>
    <w:rsid w:val="00FE2EFE"/>
    <w:rsid w:val="00FE325F"/>
    <w:rsid w:val="00FE60D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3A684"/>
  <w15:chartTrackingRefBased/>
  <w15:docId w15:val="{1A9C9E36-3E7A-4AAB-87BA-0CF18F08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9AC"/>
    <w:pPr>
      <w:spacing w:after="0" w:line="240" w:lineRule="auto"/>
    </w:pPr>
    <w:rPr>
      <w:rFonts w:ascii="Calibri" w:eastAsia="Times New Roman" w:hAnsi="Calibri" w:cs="Times New Roman"/>
      <w:kern w:val="0"/>
      <w:lang w:val="en-GB"/>
      <w14:ligatures w14:val="none"/>
    </w:rPr>
  </w:style>
  <w:style w:type="paragraph" w:styleId="Ttulo1">
    <w:name w:val="heading 1"/>
    <w:basedOn w:val="Normal"/>
    <w:next w:val="Normal"/>
    <w:link w:val="Ttulo1Car"/>
    <w:uiPriority w:val="9"/>
    <w:qFormat/>
    <w:rsid w:val="009E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E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E6F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E6F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E6F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E6F4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6F4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6F4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6F4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6F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9E6F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E6F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E6F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E6F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E6F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6F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6F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6F4A"/>
    <w:rPr>
      <w:rFonts w:eastAsiaTheme="majorEastAsia" w:cstheme="majorBidi"/>
      <w:color w:val="272727" w:themeColor="text1" w:themeTint="D8"/>
    </w:rPr>
  </w:style>
  <w:style w:type="paragraph" w:styleId="Ttulo">
    <w:name w:val="Title"/>
    <w:basedOn w:val="Normal"/>
    <w:next w:val="Normal"/>
    <w:link w:val="TtuloCar"/>
    <w:uiPriority w:val="10"/>
    <w:qFormat/>
    <w:rsid w:val="009E6F4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6F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6F4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6F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6F4A"/>
    <w:pPr>
      <w:spacing w:before="160"/>
      <w:jc w:val="center"/>
    </w:pPr>
    <w:rPr>
      <w:i/>
      <w:iCs/>
      <w:color w:val="404040" w:themeColor="text1" w:themeTint="BF"/>
    </w:rPr>
  </w:style>
  <w:style w:type="character" w:customStyle="1" w:styleId="CitaCar">
    <w:name w:val="Cita Car"/>
    <w:basedOn w:val="Fuentedeprrafopredeter"/>
    <w:link w:val="Cita"/>
    <w:uiPriority w:val="29"/>
    <w:rsid w:val="009E6F4A"/>
    <w:rPr>
      <w:i/>
      <w:iCs/>
      <w:color w:val="404040" w:themeColor="text1" w:themeTint="BF"/>
    </w:rPr>
  </w:style>
  <w:style w:type="paragraph" w:styleId="Prrafodelista">
    <w:name w:val="List Paragraph"/>
    <w:basedOn w:val="Normal"/>
    <w:link w:val="PrrafodelistaCar"/>
    <w:uiPriority w:val="34"/>
    <w:qFormat/>
    <w:rsid w:val="009E6F4A"/>
    <w:pPr>
      <w:ind w:left="720"/>
      <w:contextualSpacing/>
    </w:pPr>
  </w:style>
  <w:style w:type="character" w:styleId="nfasisintenso">
    <w:name w:val="Intense Emphasis"/>
    <w:basedOn w:val="Fuentedeprrafopredeter"/>
    <w:uiPriority w:val="21"/>
    <w:qFormat/>
    <w:rsid w:val="009E6F4A"/>
    <w:rPr>
      <w:i/>
      <w:iCs/>
      <w:color w:val="0F4761" w:themeColor="accent1" w:themeShade="BF"/>
    </w:rPr>
  </w:style>
  <w:style w:type="paragraph" w:styleId="Citadestacada">
    <w:name w:val="Intense Quote"/>
    <w:basedOn w:val="Normal"/>
    <w:next w:val="Normal"/>
    <w:link w:val="CitadestacadaCar"/>
    <w:uiPriority w:val="30"/>
    <w:qFormat/>
    <w:rsid w:val="009E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E6F4A"/>
    <w:rPr>
      <w:i/>
      <w:iCs/>
      <w:color w:val="0F4761" w:themeColor="accent1" w:themeShade="BF"/>
    </w:rPr>
  </w:style>
  <w:style w:type="character" w:styleId="Referenciaintensa">
    <w:name w:val="Intense Reference"/>
    <w:basedOn w:val="Fuentedeprrafopredeter"/>
    <w:uiPriority w:val="32"/>
    <w:qFormat/>
    <w:rsid w:val="009E6F4A"/>
    <w:rPr>
      <w:b/>
      <w:bCs/>
      <w:smallCaps/>
      <w:color w:val="0F4761" w:themeColor="accent1" w:themeShade="BF"/>
      <w:spacing w:val="5"/>
    </w:rPr>
  </w:style>
  <w:style w:type="paragraph" w:styleId="Encabezado">
    <w:name w:val="header"/>
    <w:basedOn w:val="Normal"/>
    <w:link w:val="EncabezadoCar"/>
    <w:uiPriority w:val="99"/>
    <w:unhideWhenUsed/>
    <w:rsid w:val="000309AC"/>
    <w:pPr>
      <w:tabs>
        <w:tab w:val="center" w:pos="4252"/>
        <w:tab w:val="right" w:pos="8504"/>
      </w:tabs>
    </w:pPr>
  </w:style>
  <w:style w:type="character" w:customStyle="1" w:styleId="EncabezadoCar">
    <w:name w:val="Encabezado Car"/>
    <w:basedOn w:val="Fuentedeprrafopredeter"/>
    <w:link w:val="Encabezado"/>
    <w:uiPriority w:val="99"/>
    <w:rsid w:val="000309AC"/>
  </w:style>
  <w:style w:type="paragraph" w:styleId="Piedepgina">
    <w:name w:val="footer"/>
    <w:basedOn w:val="Normal"/>
    <w:link w:val="PiedepginaCar"/>
    <w:uiPriority w:val="99"/>
    <w:unhideWhenUsed/>
    <w:rsid w:val="000309AC"/>
    <w:pPr>
      <w:tabs>
        <w:tab w:val="center" w:pos="4252"/>
        <w:tab w:val="right" w:pos="8504"/>
      </w:tabs>
    </w:pPr>
  </w:style>
  <w:style w:type="character" w:customStyle="1" w:styleId="PiedepginaCar">
    <w:name w:val="Pie de página Car"/>
    <w:basedOn w:val="Fuentedeprrafopredeter"/>
    <w:link w:val="Piedepgina"/>
    <w:uiPriority w:val="99"/>
    <w:rsid w:val="000309AC"/>
  </w:style>
  <w:style w:type="paragraph" w:styleId="Textonotapie">
    <w:name w:val="footnote text"/>
    <w:aliases w:val="Reference,Fußnote,Footnote Text Char1 Char,Footnote Text Char Char Char,Footnote Text Char2 Char Char Char,Footnote Text Char1 Char Char Char Char,Footnote Text Char Char Char Char Char Char,FSR footnote,lábléc"/>
    <w:basedOn w:val="Normal"/>
    <w:link w:val="TextonotapieCar"/>
    <w:uiPriority w:val="99"/>
    <w:unhideWhenUsed/>
    <w:rsid w:val="000309AC"/>
    <w:rPr>
      <w:sz w:val="20"/>
      <w:szCs w:val="20"/>
    </w:rPr>
  </w:style>
  <w:style w:type="character" w:customStyle="1" w:styleId="TextonotapieCar">
    <w:name w:val="Texto nota pie Car"/>
    <w:aliases w:val="Reference Car,Fußnote Car,Footnote Text Char1 Char Car,Footnote Text Char Char Char Car,Footnote Text Char2 Char Char Char Car,Footnote Text Char1 Char Char Char Char Car,Footnote Text Char Char Char Char Char Char Car,lábléc Car"/>
    <w:basedOn w:val="Fuentedeprrafopredeter"/>
    <w:link w:val="Textonotapie"/>
    <w:uiPriority w:val="99"/>
    <w:rsid w:val="000309AC"/>
    <w:rPr>
      <w:kern w:val="0"/>
      <w:sz w:val="20"/>
      <w:szCs w:val="20"/>
      <w14:ligatures w14:val="none"/>
    </w:rPr>
  </w:style>
  <w:style w:type="character" w:customStyle="1" w:styleId="Estilo2">
    <w:name w:val="Estilo2"/>
    <w:basedOn w:val="Fuentedeprrafopredeter"/>
    <w:uiPriority w:val="1"/>
    <w:rsid w:val="000309AC"/>
    <w:rPr>
      <w:rFonts w:ascii="Verdana" w:hAnsi="Verdana"/>
    </w:rPr>
  </w:style>
  <w:style w:type="character" w:styleId="Hipervnculo">
    <w:name w:val="Hyperlink"/>
    <w:basedOn w:val="Fuentedeprrafopredeter"/>
    <w:uiPriority w:val="99"/>
    <w:unhideWhenUsed/>
    <w:rsid w:val="000309AC"/>
    <w:rPr>
      <w:color w:val="467886" w:themeColor="hyperlink"/>
      <w:u w:val="single"/>
    </w:rPr>
  </w:style>
  <w:style w:type="paragraph" w:styleId="Textoindependiente">
    <w:name w:val="Body Text"/>
    <w:basedOn w:val="Normal"/>
    <w:link w:val="TextoindependienteCar"/>
    <w:uiPriority w:val="1"/>
    <w:qFormat/>
    <w:rsid w:val="000309AC"/>
    <w:pPr>
      <w:widowControl w:val="0"/>
      <w:autoSpaceDE w:val="0"/>
      <w:autoSpaceDN w:val="0"/>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0309AC"/>
    <w:rPr>
      <w:rFonts w:ascii="Arial" w:eastAsia="Arial" w:hAnsi="Arial" w:cs="Arial"/>
      <w:kern w:val="0"/>
      <w14:ligatures w14:val="none"/>
    </w:rPr>
  </w:style>
  <w:style w:type="character" w:styleId="Textodelmarcadordeposicin">
    <w:name w:val="Placeholder Text"/>
    <w:basedOn w:val="Fuentedeprrafopredeter"/>
    <w:uiPriority w:val="99"/>
    <w:semiHidden/>
    <w:rsid w:val="000309AC"/>
    <w:rPr>
      <w:color w:val="666666"/>
    </w:rPr>
  </w:style>
  <w:style w:type="character" w:customStyle="1" w:styleId="Estilo1">
    <w:name w:val="Estilo1"/>
    <w:basedOn w:val="Fuentedeprrafopredeter"/>
    <w:uiPriority w:val="1"/>
    <w:rsid w:val="006B4F6A"/>
    <w:rPr>
      <w:color w:val="002060"/>
    </w:rPr>
  </w:style>
  <w:style w:type="character" w:customStyle="1" w:styleId="Estilo3">
    <w:name w:val="Estilo3"/>
    <w:basedOn w:val="Fuentedeprrafopredeter"/>
    <w:uiPriority w:val="1"/>
    <w:rsid w:val="006B4F6A"/>
    <w:rPr>
      <w:rFonts w:ascii="Arial" w:hAnsi="Arial"/>
      <w:color w:val="002060"/>
      <w:sz w:val="22"/>
    </w:rPr>
  </w:style>
  <w:style w:type="character" w:styleId="Refdecomentario">
    <w:name w:val="annotation reference"/>
    <w:basedOn w:val="Fuentedeprrafopredeter"/>
    <w:uiPriority w:val="99"/>
    <w:semiHidden/>
    <w:unhideWhenUsed/>
    <w:rsid w:val="00803DF0"/>
    <w:rPr>
      <w:sz w:val="16"/>
      <w:szCs w:val="16"/>
    </w:rPr>
  </w:style>
  <w:style w:type="paragraph" w:styleId="Textocomentario">
    <w:name w:val="annotation text"/>
    <w:basedOn w:val="Normal"/>
    <w:link w:val="TextocomentarioCar"/>
    <w:uiPriority w:val="99"/>
    <w:unhideWhenUsed/>
    <w:rsid w:val="00803DF0"/>
    <w:rPr>
      <w:sz w:val="20"/>
      <w:szCs w:val="20"/>
    </w:rPr>
  </w:style>
  <w:style w:type="character" w:customStyle="1" w:styleId="TextocomentarioCar">
    <w:name w:val="Texto comentario Car"/>
    <w:basedOn w:val="Fuentedeprrafopredeter"/>
    <w:link w:val="Textocomentario"/>
    <w:uiPriority w:val="99"/>
    <w:rsid w:val="00803DF0"/>
    <w:rPr>
      <w:rFonts w:ascii="Calibri" w:eastAsia="Times New Roman" w:hAnsi="Calibri" w:cs="Times New Roman"/>
      <w:kern w:val="0"/>
      <w:sz w:val="20"/>
      <w:szCs w:val="20"/>
      <w:lang w:val="en-GB"/>
      <w14:ligatures w14:val="none"/>
    </w:rPr>
  </w:style>
  <w:style w:type="paragraph" w:styleId="Asuntodelcomentario">
    <w:name w:val="annotation subject"/>
    <w:basedOn w:val="Textocomentario"/>
    <w:next w:val="Textocomentario"/>
    <w:link w:val="AsuntodelcomentarioCar"/>
    <w:uiPriority w:val="99"/>
    <w:semiHidden/>
    <w:unhideWhenUsed/>
    <w:rsid w:val="00803DF0"/>
    <w:rPr>
      <w:b/>
      <w:bCs/>
    </w:rPr>
  </w:style>
  <w:style w:type="character" w:customStyle="1" w:styleId="AsuntodelcomentarioCar">
    <w:name w:val="Asunto del comentario Car"/>
    <w:basedOn w:val="TextocomentarioCar"/>
    <w:link w:val="Asuntodelcomentario"/>
    <w:uiPriority w:val="99"/>
    <w:semiHidden/>
    <w:rsid w:val="00803DF0"/>
    <w:rPr>
      <w:rFonts w:ascii="Calibri" w:eastAsia="Times New Roman" w:hAnsi="Calibri" w:cs="Times New Roman"/>
      <w:b/>
      <w:bCs/>
      <w:kern w:val="0"/>
      <w:sz w:val="20"/>
      <w:szCs w:val="20"/>
      <w:lang w:val="en-GB"/>
      <w14:ligatures w14:val="none"/>
    </w:rPr>
  </w:style>
  <w:style w:type="paragraph" w:styleId="Revisin">
    <w:name w:val="Revision"/>
    <w:hidden/>
    <w:uiPriority w:val="99"/>
    <w:semiHidden/>
    <w:rsid w:val="00F24905"/>
    <w:pPr>
      <w:spacing w:after="0" w:line="240" w:lineRule="auto"/>
    </w:pPr>
    <w:rPr>
      <w:rFonts w:ascii="Calibri" w:eastAsia="Times New Roman" w:hAnsi="Calibri" w:cs="Times New Roman"/>
      <w:kern w:val="0"/>
      <w:lang w:val="en-GB"/>
      <w14:ligatures w14:val="none"/>
    </w:rPr>
  </w:style>
  <w:style w:type="character" w:styleId="Mencinsinresolver">
    <w:name w:val="Unresolved Mention"/>
    <w:basedOn w:val="Fuentedeprrafopredeter"/>
    <w:uiPriority w:val="99"/>
    <w:semiHidden/>
    <w:unhideWhenUsed/>
    <w:rsid w:val="00952EDF"/>
    <w:rPr>
      <w:color w:val="605E5C"/>
      <w:shd w:val="clear" w:color="auto" w:fill="E1DFDD"/>
    </w:rPr>
  </w:style>
  <w:style w:type="character" w:styleId="Refdenotaalpie">
    <w:name w:val="footnote reference"/>
    <w:aliases w:val="SUPERS,Footnote reference number,Footnote symbol,note TESI,-E Fußnotenzeichen,number,fr,Ref,de nota al pie,Footnote,Footnote number Car Car Car Car Car Car Car Car Car,Footnote number Car Car1 Car Car Car Car"/>
    <w:basedOn w:val="Fuentedeprrafopredeter"/>
    <w:uiPriority w:val="99"/>
    <w:unhideWhenUsed/>
    <w:rsid w:val="00792B84"/>
    <w:rPr>
      <w:vertAlign w:val="superscript"/>
    </w:rPr>
  </w:style>
  <w:style w:type="character" w:customStyle="1" w:styleId="PrrafodelistaCar">
    <w:name w:val="Párrafo de lista Car"/>
    <w:basedOn w:val="Fuentedeprrafopredeter"/>
    <w:link w:val="Prrafodelista"/>
    <w:uiPriority w:val="34"/>
    <w:rsid w:val="0065268B"/>
    <w:rPr>
      <w:rFonts w:ascii="Calibri" w:eastAsia="Times New Roman" w:hAnsi="Calibri" w:cs="Times New Roman"/>
      <w:kern w:val="0"/>
      <w:lang w:val="en-GB"/>
      <w14:ligatures w14:val="none"/>
    </w:rPr>
  </w:style>
  <w:style w:type="table" w:styleId="Tablaconcuadrcula">
    <w:name w:val="Table Grid"/>
    <w:basedOn w:val="Tablanormal"/>
    <w:uiPriority w:val="39"/>
    <w:rsid w:val="0065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OSARTICLEP">
    <w:name w:val="LEOSARTICLEP"/>
    <w:basedOn w:val="Normal"/>
    <w:autoRedefine/>
    <w:qFormat/>
    <w:rsid w:val="006042CF"/>
    <w:pPr>
      <w:spacing w:before="160" w:after="300" w:line="259" w:lineRule="auto"/>
      <w:ind w:firstLine="709"/>
      <w:jc w:val="both"/>
    </w:pPr>
    <w:rPr>
      <w:rFonts w:ascii="Arial" w:eastAsiaTheme="minorHAnsi" w:hAnsi="Arial" w:cstheme="minorBidi"/>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diencia@economia.gob.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3BD2E581C4423FBE11284A370D25EC"/>
        <w:category>
          <w:name w:val="General"/>
          <w:gallery w:val="placeholder"/>
        </w:category>
        <w:types>
          <w:type w:val="bbPlcHdr"/>
        </w:types>
        <w:behaviors>
          <w:behavior w:val="content"/>
        </w:behaviors>
        <w:guid w:val="{B2FADCFB-7F5E-4591-A7E8-FF0EE00ECCF0}"/>
      </w:docPartPr>
      <w:docPartBody>
        <w:p w:rsidR="003B3531" w:rsidRDefault="0022020C" w:rsidP="0022020C">
          <w:pPr>
            <w:pStyle w:val="0E3BD2E581C4423FBE11284A370D25EC"/>
          </w:pPr>
          <w:r w:rsidRPr="006475D8">
            <w:rPr>
              <w:rStyle w:val="Textodelmarcadordeposicin"/>
              <w:rFonts w:ascii="Arial" w:hAnsi="Arial" w:cs="Arial"/>
            </w:rPr>
            <w:t>Haga clic o pulse aquí para escribir texto.</w:t>
          </w:r>
        </w:p>
      </w:docPartBody>
    </w:docPart>
    <w:docPart>
      <w:docPartPr>
        <w:name w:val="EE85FF43509242809F9741EAC8E5096C"/>
        <w:category>
          <w:name w:val="General"/>
          <w:gallery w:val="placeholder"/>
        </w:category>
        <w:types>
          <w:type w:val="bbPlcHdr"/>
        </w:types>
        <w:behaviors>
          <w:behavior w:val="content"/>
        </w:behaviors>
        <w:guid w:val="{562628FC-53E5-4910-8C65-2B7CF602F970}"/>
      </w:docPartPr>
      <w:docPartBody>
        <w:p w:rsidR="003B3531" w:rsidRDefault="0022020C" w:rsidP="0022020C">
          <w:pPr>
            <w:pStyle w:val="EE85FF43509242809F9741EAC8E5096C"/>
          </w:pPr>
          <w:r w:rsidRPr="006475D8">
            <w:rPr>
              <w:rStyle w:val="Textodelmarcadordeposicin"/>
              <w:rFonts w:ascii="Arial" w:hAnsi="Arial" w:cs="Arial"/>
            </w:rPr>
            <w:t>Elija un elemento.</w:t>
          </w:r>
        </w:p>
      </w:docPartBody>
    </w:docPart>
    <w:docPart>
      <w:docPartPr>
        <w:name w:val="5E2D748EC3E943FE8C862CC45905CE23"/>
        <w:category>
          <w:name w:val="General"/>
          <w:gallery w:val="placeholder"/>
        </w:category>
        <w:types>
          <w:type w:val="bbPlcHdr"/>
        </w:types>
        <w:behaviors>
          <w:behavior w:val="content"/>
        </w:behaviors>
        <w:guid w:val="{870C51BE-8D53-4FCB-9044-21744681C7C3}"/>
      </w:docPartPr>
      <w:docPartBody>
        <w:p w:rsidR="003B3531" w:rsidRDefault="0022020C" w:rsidP="0022020C">
          <w:pPr>
            <w:pStyle w:val="5E2D748EC3E943FE8C862CC45905CE23"/>
          </w:pPr>
          <w:r w:rsidRPr="00601463">
            <w:rPr>
              <w:rStyle w:val="Textodelmarcadordeposicin"/>
            </w:rPr>
            <w:t>Elija un elemento.</w:t>
          </w:r>
        </w:p>
      </w:docPartBody>
    </w:docPart>
    <w:docPart>
      <w:docPartPr>
        <w:name w:val="EF0A44EBEF204BDA830C9D6C3841974B"/>
        <w:category>
          <w:name w:val="General"/>
          <w:gallery w:val="placeholder"/>
        </w:category>
        <w:types>
          <w:type w:val="bbPlcHdr"/>
        </w:types>
        <w:behaviors>
          <w:behavior w:val="content"/>
        </w:behaviors>
        <w:guid w:val="{CED7498E-8318-40ED-A9A4-AEA74D89C0C0}"/>
      </w:docPartPr>
      <w:docPartBody>
        <w:p w:rsidR="003B3531" w:rsidRDefault="0022020C" w:rsidP="0022020C">
          <w:pPr>
            <w:pStyle w:val="EF0A44EBEF204BDA830C9D6C3841974B"/>
          </w:pPr>
          <w:r w:rsidRPr="00601463">
            <w:rPr>
              <w:rStyle w:val="Textodelmarcadordeposicin"/>
            </w:rPr>
            <w:t>Haga clic o pulse aquí para escribir texto.</w:t>
          </w:r>
        </w:p>
      </w:docPartBody>
    </w:docPart>
    <w:docPart>
      <w:docPartPr>
        <w:name w:val="05079C451715410AA13E177084DBBC46"/>
        <w:category>
          <w:name w:val="General"/>
          <w:gallery w:val="placeholder"/>
        </w:category>
        <w:types>
          <w:type w:val="bbPlcHdr"/>
        </w:types>
        <w:behaviors>
          <w:behavior w:val="content"/>
        </w:behaviors>
        <w:guid w:val="{BA75CAF2-83A7-48D9-B4F2-89E32FE722FC}"/>
      </w:docPartPr>
      <w:docPartBody>
        <w:p w:rsidR="003B3531" w:rsidRDefault="0022020C" w:rsidP="0022020C">
          <w:pPr>
            <w:pStyle w:val="05079C451715410AA13E177084DBBC46"/>
          </w:pPr>
          <w:r w:rsidRPr="00601463">
            <w:rPr>
              <w:rStyle w:val="Textodelmarcadordeposicin"/>
            </w:rPr>
            <w:t>Elija un elemento.</w:t>
          </w:r>
        </w:p>
      </w:docPartBody>
    </w:docPart>
    <w:docPart>
      <w:docPartPr>
        <w:name w:val="7330085AC0A24B2EBD7B3A9FE87F6FF5"/>
        <w:category>
          <w:name w:val="General"/>
          <w:gallery w:val="placeholder"/>
        </w:category>
        <w:types>
          <w:type w:val="bbPlcHdr"/>
        </w:types>
        <w:behaviors>
          <w:behavior w:val="content"/>
        </w:behaviors>
        <w:guid w:val="{58EC1228-46CD-4B06-BEC7-6D0ACA4F0CC3}"/>
      </w:docPartPr>
      <w:docPartBody>
        <w:p w:rsidR="003B3531" w:rsidRDefault="0022020C" w:rsidP="0022020C">
          <w:pPr>
            <w:pStyle w:val="7330085AC0A24B2EBD7B3A9FE87F6FF5"/>
          </w:pPr>
          <w:r w:rsidRPr="00601463">
            <w:rPr>
              <w:rStyle w:val="Textodelmarcadordeposicin"/>
            </w:rPr>
            <w:t>Haga clic o pulse aquí para escribir texto.</w:t>
          </w:r>
        </w:p>
      </w:docPartBody>
    </w:docPart>
    <w:docPart>
      <w:docPartPr>
        <w:name w:val="BB2C08A98E7E48839268319F65BCD668"/>
        <w:category>
          <w:name w:val="General"/>
          <w:gallery w:val="placeholder"/>
        </w:category>
        <w:types>
          <w:type w:val="bbPlcHdr"/>
        </w:types>
        <w:behaviors>
          <w:behavior w:val="content"/>
        </w:behaviors>
        <w:guid w:val="{45B8FD0A-8995-4CF0-B9E6-A85D1FCFEF32}"/>
      </w:docPartPr>
      <w:docPartBody>
        <w:p w:rsidR="003B3531" w:rsidRDefault="0022020C" w:rsidP="0022020C">
          <w:pPr>
            <w:pStyle w:val="BB2C08A98E7E48839268319F65BCD668"/>
          </w:pPr>
          <w:r w:rsidRPr="00601463">
            <w:rPr>
              <w:rStyle w:val="Textodelmarcadordeposicin"/>
            </w:rPr>
            <w:t>Haga clic o pulse aquí para escribir texto.</w:t>
          </w:r>
        </w:p>
      </w:docPartBody>
    </w:docPart>
    <w:docPart>
      <w:docPartPr>
        <w:name w:val="45FC2E23399447818FC544C820DB314F"/>
        <w:category>
          <w:name w:val="General"/>
          <w:gallery w:val="placeholder"/>
        </w:category>
        <w:types>
          <w:type w:val="bbPlcHdr"/>
        </w:types>
        <w:behaviors>
          <w:behavior w:val="content"/>
        </w:behaviors>
        <w:guid w:val="{81FFE2E0-DC1D-435C-A8D9-92D0FD4E3852}"/>
      </w:docPartPr>
      <w:docPartBody>
        <w:p w:rsidR="003B3531" w:rsidRDefault="0022020C" w:rsidP="0022020C">
          <w:pPr>
            <w:pStyle w:val="45FC2E23399447818FC544C820DB314F"/>
          </w:pPr>
          <w:r w:rsidRPr="00601463">
            <w:rPr>
              <w:rStyle w:val="Textodelmarcadordeposicin"/>
            </w:rPr>
            <w:t>Haga clic o pulse aquí para escribir texto.</w:t>
          </w:r>
        </w:p>
      </w:docPartBody>
    </w:docPart>
    <w:docPart>
      <w:docPartPr>
        <w:name w:val="406FAAFE87C04A07931316F942EDF058"/>
        <w:category>
          <w:name w:val="General"/>
          <w:gallery w:val="placeholder"/>
        </w:category>
        <w:types>
          <w:type w:val="bbPlcHdr"/>
        </w:types>
        <w:behaviors>
          <w:behavior w:val="content"/>
        </w:behaviors>
        <w:guid w:val="{46E12102-E397-49DF-B26B-A1BF57B21BCD}"/>
      </w:docPartPr>
      <w:docPartBody>
        <w:p w:rsidR="003B3531" w:rsidRDefault="0022020C" w:rsidP="0022020C">
          <w:pPr>
            <w:pStyle w:val="406FAAFE87C04A07931316F942EDF058"/>
          </w:pPr>
          <w:r w:rsidRPr="00601463">
            <w:rPr>
              <w:rStyle w:val="Textodelmarcadordeposicin"/>
            </w:rPr>
            <w:t>Elija un elemento.</w:t>
          </w:r>
        </w:p>
      </w:docPartBody>
    </w:docPart>
    <w:docPart>
      <w:docPartPr>
        <w:name w:val="CC9694A6455C4976A543485FD366229B"/>
        <w:category>
          <w:name w:val="General"/>
          <w:gallery w:val="placeholder"/>
        </w:category>
        <w:types>
          <w:type w:val="bbPlcHdr"/>
        </w:types>
        <w:behaviors>
          <w:behavior w:val="content"/>
        </w:behaviors>
        <w:guid w:val="{F2103BA7-928D-482E-9695-5482EF2401A1}"/>
      </w:docPartPr>
      <w:docPartBody>
        <w:p w:rsidR="003B3531" w:rsidRDefault="0022020C" w:rsidP="0022020C">
          <w:pPr>
            <w:pStyle w:val="CC9694A6455C4976A543485FD366229B"/>
          </w:pPr>
          <w:r w:rsidRPr="00601463">
            <w:rPr>
              <w:rStyle w:val="Textodelmarcadordeposicin"/>
            </w:rPr>
            <w:t>Haga clic o pulse aquí para escribir texto.</w:t>
          </w:r>
        </w:p>
      </w:docPartBody>
    </w:docPart>
    <w:docPart>
      <w:docPartPr>
        <w:name w:val="C719B204C481486E94D65DF07C02B9C1"/>
        <w:category>
          <w:name w:val="General"/>
          <w:gallery w:val="placeholder"/>
        </w:category>
        <w:types>
          <w:type w:val="bbPlcHdr"/>
        </w:types>
        <w:behaviors>
          <w:behavior w:val="content"/>
        </w:behaviors>
        <w:guid w:val="{7C0A0805-7F85-4F52-8A64-68C30A16294E}"/>
      </w:docPartPr>
      <w:docPartBody>
        <w:p w:rsidR="003B3531" w:rsidRDefault="0022020C" w:rsidP="0022020C">
          <w:pPr>
            <w:pStyle w:val="C719B204C481486E94D65DF07C02B9C1"/>
          </w:pPr>
          <w:r w:rsidRPr="00601463">
            <w:rPr>
              <w:rStyle w:val="Textodelmarcadordeposicin"/>
            </w:rPr>
            <w:t>Haga clic o pulse aquí para escribir texto.</w:t>
          </w:r>
        </w:p>
      </w:docPartBody>
    </w:docPart>
    <w:docPart>
      <w:docPartPr>
        <w:name w:val="F7247857997E410582A76681958B703F"/>
        <w:category>
          <w:name w:val="General"/>
          <w:gallery w:val="placeholder"/>
        </w:category>
        <w:types>
          <w:type w:val="bbPlcHdr"/>
        </w:types>
        <w:behaviors>
          <w:behavior w:val="content"/>
        </w:behaviors>
        <w:guid w:val="{2A9DA9BD-1C55-4CF4-8AEE-F672269107E5}"/>
      </w:docPartPr>
      <w:docPartBody>
        <w:p w:rsidR="003B3531" w:rsidRDefault="0022020C" w:rsidP="0022020C">
          <w:pPr>
            <w:pStyle w:val="F7247857997E410582A76681958B703F"/>
          </w:pPr>
          <w:r w:rsidRPr="00B801B2">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E008C336-FBAC-4429-818B-64BCB2829AC9}"/>
      </w:docPartPr>
      <w:docPartBody>
        <w:p w:rsidR="001E1A1E" w:rsidRDefault="00503EDD">
          <w:r w:rsidRPr="005859D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99"/>
    <w:rsid w:val="00007592"/>
    <w:rsid w:val="00024025"/>
    <w:rsid w:val="00034A94"/>
    <w:rsid w:val="000472DC"/>
    <w:rsid w:val="000B08B1"/>
    <w:rsid w:val="000B16EE"/>
    <w:rsid w:val="000B48E2"/>
    <w:rsid w:val="000B6F97"/>
    <w:rsid w:val="000F58F5"/>
    <w:rsid w:val="00135799"/>
    <w:rsid w:val="0015713E"/>
    <w:rsid w:val="0016435F"/>
    <w:rsid w:val="00172D4C"/>
    <w:rsid w:val="00184B76"/>
    <w:rsid w:val="001B7038"/>
    <w:rsid w:val="001E1A1E"/>
    <w:rsid w:val="0022020C"/>
    <w:rsid w:val="00247967"/>
    <w:rsid w:val="00263E61"/>
    <w:rsid w:val="00270D5C"/>
    <w:rsid w:val="00276B20"/>
    <w:rsid w:val="002A3952"/>
    <w:rsid w:val="002B0550"/>
    <w:rsid w:val="002C4E18"/>
    <w:rsid w:val="002D6714"/>
    <w:rsid w:val="002E2C50"/>
    <w:rsid w:val="002F17FD"/>
    <w:rsid w:val="00360C1E"/>
    <w:rsid w:val="003B3531"/>
    <w:rsid w:val="003C1638"/>
    <w:rsid w:val="003C4CCF"/>
    <w:rsid w:val="003C6F10"/>
    <w:rsid w:val="003D16D4"/>
    <w:rsid w:val="003D5E75"/>
    <w:rsid w:val="003E2282"/>
    <w:rsid w:val="003E6D19"/>
    <w:rsid w:val="00405408"/>
    <w:rsid w:val="00443B1A"/>
    <w:rsid w:val="0048574F"/>
    <w:rsid w:val="00490F75"/>
    <w:rsid w:val="00492F3F"/>
    <w:rsid w:val="004F23CA"/>
    <w:rsid w:val="00503EDD"/>
    <w:rsid w:val="00523F0D"/>
    <w:rsid w:val="00545E45"/>
    <w:rsid w:val="005507B7"/>
    <w:rsid w:val="00555D15"/>
    <w:rsid w:val="00563E82"/>
    <w:rsid w:val="005859BF"/>
    <w:rsid w:val="00585AA2"/>
    <w:rsid w:val="00586204"/>
    <w:rsid w:val="005947CF"/>
    <w:rsid w:val="005A4FBC"/>
    <w:rsid w:val="005B6A49"/>
    <w:rsid w:val="005F3A86"/>
    <w:rsid w:val="005F43D9"/>
    <w:rsid w:val="00614CCE"/>
    <w:rsid w:val="006179E3"/>
    <w:rsid w:val="006249DE"/>
    <w:rsid w:val="00624ACE"/>
    <w:rsid w:val="006537D4"/>
    <w:rsid w:val="00674269"/>
    <w:rsid w:val="00691477"/>
    <w:rsid w:val="006A5AE5"/>
    <w:rsid w:val="007A1DD0"/>
    <w:rsid w:val="007A401C"/>
    <w:rsid w:val="007A6B55"/>
    <w:rsid w:val="007A74C8"/>
    <w:rsid w:val="007D0588"/>
    <w:rsid w:val="007D11ED"/>
    <w:rsid w:val="007E188B"/>
    <w:rsid w:val="007F0EE2"/>
    <w:rsid w:val="007F30EB"/>
    <w:rsid w:val="007F61A5"/>
    <w:rsid w:val="008156B0"/>
    <w:rsid w:val="008408F3"/>
    <w:rsid w:val="0084099F"/>
    <w:rsid w:val="008447B1"/>
    <w:rsid w:val="00877461"/>
    <w:rsid w:val="008778F7"/>
    <w:rsid w:val="00886FE4"/>
    <w:rsid w:val="00896D38"/>
    <w:rsid w:val="008A6A8C"/>
    <w:rsid w:val="008D41E1"/>
    <w:rsid w:val="008D5118"/>
    <w:rsid w:val="008E3150"/>
    <w:rsid w:val="008E7434"/>
    <w:rsid w:val="00914A50"/>
    <w:rsid w:val="00924763"/>
    <w:rsid w:val="00940FB0"/>
    <w:rsid w:val="00942AAE"/>
    <w:rsid w:val="00961FF5"/>
    <w:rsid w:val="0099208D"/>
    <w:rsid w:val="009939D3"/>
    <w:rsid w:val="009957D0"/>
    <w:rsid w:val="009964A3"/>
    <w:rsid w:val="009971E8"/>
    <w:rsid w:val="0099790B"/>
    <w:rsid w:val="009A7A5F"/>
    <w:rsid w:val="009B36D3"/>
    <w:rsid w:val="009D4DED"/>
    <w:rsid w:val="009E34D3"/>
    <w:rsid w:val="009E55DE"/>
    <w:rsid w:val="009F092F"/>
    <w:rsid w:val="009F09A6"/>
    <w:rsid w:val="009F0D93"/>
    <w:rsid w:val="00A07FE2"/>
    <w:rsid w:val="00A15468"/>
    <w:rsid w:val="00A20FAF"/>
    <w:rsid w:val="00A21327"/>
    <w:rsid w:val="00A216E3"/>
    <w:rsid w:val="00A31F39"/>
    <w:rsid w:val="00A44E63"/>
    <w:rsid w:val="00A61012"/>
    <w:rsid w:val="00A674E8"/>
    <w:rsid w:val="00A827CE"/>
    <w:rsid w:val="00AB2790"/>
    <w:rsid w:val="00AF0FB1"/>
    <w:rsid w:val="00B14722"/>
    <w:rsid w:val="00B23BCC"/>
    <w:rsid w:val="00B274A0"/>
    <w:rsid w:val="00B37315"/>
    <w:rsid w:val="00B415EA"/>
    <w:rsid w:val="00B55893"/>
    <w:rsid w:val="00B628FB"/>
    <w:rsid w:val="00B634CC"/>
    <w:rsid w:val="00B76E7C"/>
    <w:rsid w:val="00B96204"/>
    <w:rsid w:val="00BA2E14"/>
    <w:rsid w:val="00BA4FA3"/>
    <w:rsid w:val="00BB599C"/>
    <w:rsid w:val="00BB6804"/>
    <w:rsid w:val="00BC45EC"/>
    <w:rsid w:val="00BD2566"/>
    <w:rsid w:val="00BF79FC"/>
    <w:rsid w:val="00C027AE"/>
    <w:rsid w:val="00C034F3"/>
    <w:rsid w:val="00C215DB"/>
    <w:rsid w:val="00C2180E"/>
    <w:rsid w:val="00C22849"/>
    <w:rsid w:val="00C367EA"/>
    <w:rsid w:val="00C908FB"/>
    <w:rsid w:val="00C9482A"/>
    <w:rsid w:val="00CD5F4D"/>
    <w:rsid w:val="00CF6D0F"/>
    <w:rsid w:val="00CF6D9C"/>
    <w:rsid w:val="00D0768B"/>
    <w:rsid w:val="00DC1C6E"/>
    <w:rsid w:val="00E01977"/>
    <w:rsid w:val="00E16F89"/>
    <w:rsid w:val="00E23EE5"/>
    <w:rsid w:val="00E34479"/>
    <w:rsid w:val="00E43CE4"/>
    <w:rsid w:val="00E8091F"/>
    <w:rsid w:val="00E9401F"/>
    <w:rsid w:val="00E94382"/>
    <w:rsid w:val="00EA4031"/>
    <w:rsid w:val="00EA42C6"/>
    <w:rsid w:val="00EB56F5"/>
    <w:rsid w:val="00EE56DE"/>
    <w:rsid w:val="00F36485"/>
    <w:rsid w:val="00F41401"/>
    <w:rsid w:val="00F80EE0"/>
    <w:rsid w:val="00F911C9"/>
    <w:rsid w:val="00F91283"/>
    <w:rsid w:val="00FA1C4B"/>
    <w:rsid w:val="00FB6A73"/>
    <w:rsid w:val="00FF7CE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5B58B6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03EDD"/>
    <w:rPr>
      <w:color w:val="666666"/>
    </w:rPr>
  </w:style>
  <w:style w:type="paragraph" w:customStyle="1" w:styleId="0E3BD2E581C4423FBE11284A370D25EC">
    <w:name w:val="0E3BD2E581C4423FBE11284A370D25EC"/>
    <w:rsid w:val="0022020C"/>
  </w:style>
  <w:style w:type="paragraph" w:customStyle="1" w:styleId="EE85FF43509242809F9741EAC8E5096C">
    <w:name w:val="EE85FF43509242809F9741EAC8E5096C"/>
    <w:rsid w:val="0022020C"/>
  </w:style>
  <w:style w:type="paragraph" w:customStyle="1" w:styleId="5E2D748EC3E943FE8C862CC45905CE23">
    <w:name w:val="5E2D748EC3E943FE8C862CC45905CE23"/>
    <w:rsid w:val="0022020C"/>
  </w:style>
  <w:style w:type="paragraph" w:customStyle="1" w:styleId="EF0A44EBEF204BDA830C9D6C3841974B">
    <w:name w:val="EF0A44EBEF204BDA830C9D6C3841974B"/>
    <w:rsid w:val="0022020C"/>
  </w:style>
  <w:style w:type="paragraph" w:customStyle="1" w:styleId="05079C451715410AA13E177084DBBC46">
    <w:name w:val="05079C451715410AA13E177084DBBC46"/>
    <w:rsid w:val="0022020C"/>
  </w:style>
  <w:style w:type="paragraph" w:customStyle="1" w:styleId="7330085AC0A24B2EBD7B3A9FE87F6FF5">
    <w:name w:val="7330085AC0A24B2EBD7B3A9FE87F6FF5"/>
    <w:rsid w:val="0022020C"/>
  </w:style>
  <w:style w:type="paragraph" w:customStyle="1" w:styleId="BB2C08A98E7E48839268319F65BCD668">
    <w:name w:val="BB2C08A98E7E48839268319F65BCD668"/>
    <w:rsid w:val="0022020C"/>
  </w:style>
  <w:style w:type="paragraph" w:customStyle="1" w:styleId="45FC2E23399447818FC544C820DB314F">
    <w:name w:val="45FC2E23399447818FC544C820DB314F"/>
    <w:rsid w:val="0022020C"/>
  </w:style>
  <w:style w:type="paragraph" w:customStyle="1" w:styleId="406FAAFE87C04A07931316F942EDF058">
    <w:name w:val="406FAAFE87C04A07931316F942EDF058"/>
    <w:rsid w:val="0022020C"/>
  </w:style>
  <w:style w:type="paragraph" w:customStyle="1" w:styleId="CC9694A6455C4976A543485FD366229B">
    <w:name w:val="CC9694A6455C4976A543485FD366229B"/>
    <w:rsid w:val="0022020C"/>
  </w:style>
  <w:style w:type="paragraph" w:customStyle="1" w:styleId="C719B204C481486E94D65DF07C02B9C1">
    <w:name w:val="C719B204C481486E94D65DF07C02B9C1"/>
    <w:rsid w:val="0022020C"/>
  </w:style>
  <w:style w:type="paragraph" w:customStyle="1" w:styleId="F7247857997E410582A76681958B703F">
    <w:name w:val="F7247857997E410582A76681958B703F"/>
    <w:rsid w:val="00220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SP" ma:contentTypeID="0x0101008FF1A553EA44B64A95089CD029D051E5007787A2A54347CA4F9F010EBFDE2E775E" ma:contentTypeVersion="2" ma:contentTypeDescription="Crear nuevo documento." ma:contentTypeScope="" ma:versionID="c48464e60e14be7bfdc9db1f3dc27697">
  <xsd:schema xmlns:xsd="http://www.w3.org/2001/XMLSchema" xmlns:xs="http://www.w3.org/2001/XMLSchema" xmlns:p="http://schemas.microsoft.com/office/2006/metadata/properties" xmlns:ns2="0ab26fd9-f3a4-4932-bb5f-974b43a86ccf" xmlns:ns3="5adc3495-f5d9-4058-9f2d-12b0d72f2b64" xmlns:ns4="f152e7f8-0e10-4c01-8468-1752a5770a64" targetNamespace="http://schemas.microsoft.com/office/2006/metadata/properties" ma:root="true" ma:fieldsID="06379f52696fcf8eb28592a746a6eb3c" ns2:_="" ns3:_="" ns4:_="">
    <xsd:import namespace="0ab26fd9-f3a4-4932-bb5f-974b43a86ccf"/>
    <xsd:import namespace="5adc3495-f5d9-4058-9f2d-12b0d72f2b64"/>
    <xsd:import namespace="f152e7f8-0e10-4c01-8468-1752a5770a64"/>
    <xsd:element name="properties">
      <xsd:complexType>
        <xsd:sequence>
          <xsd:element name="documentManagement">
            <xsd:complexType>
              <xsd:all>
                <xsd:element ref="ns2:TituloSP"/>
                <xsd:element ref="ns2:AltSP" minOccurs="0"/>
                <xsd:element ref="ns3:d911194701f84a3a9135b63283404e71" minOccurs="0"/>
                <xsd:element ref="ns3:TaxCatchAll" minOccurs="0"/>
                <xsd:element ref="ns3:TaxCatchAllLabel" minOccurs="0"/>
                <xsd:element ref="ns2:DescripcionSP" minOccurs="0"/>
                <xsd:element ref="ns4:AliasSP" minOccurs="0"/>
                <xsd:element ref="ns2:FechaPublicacionS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26fd9-f3a4-4932-bb5f-974b43a86ccf" elementFormDefault="qualified">
    <xsd:import namespace="http://schemas.microsoft.com/office/2006/documentManagement/types"/>
    <xsd:import namespace="http://schemas.microsoft.com/office/infopath/2007/PartnerControls"/>
    <xsd:element name="TituloSP" ma:index="8" ma:displayName="Título" ma:internalName="TituloSP">
      <xsd:simpleType>
        <xsd:restriction base="dms:Unknown"/>
      </xsd:simpleType>
    </xsd:element>
    <xsd:element name="AltSP" ma:index="9" nillable="true" ma:displayName="Alt" ma:internalName="AltSP">
      <xsd:simpleType>
        <xsd:restriction base="dms:Unknown"/>
      </xsd:simpleType>
    </xsd:element>
    <xsd:element name="DescripcionSP" ma:index="14" nillable="true" ma:displayName="Descripción" ma:internalName="DescripcionSP">
      <xsd:simpleType>
        <xsd:restriction base="dms:Unknown"/>
      </xsd:simpleType>
    </xsd:element>
    <xsd:element name="FechaPublicacionSP" ma:index="16" nillable="true" ma:displayName="Fecha" ma:format="DateOnly" ma:internalName="FechaPublicacionSP">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adc3495-f5d9-4058-9f2d-12b0d72f2b64" elementFormDefault="qualified">
    <xsd:import namespace="http://schemas.microsoft.com/office/2006/documentManagement/types"/>
    <xsd:import namespace="http://schemas.microsoft.com/office/infopath/2007/PartnerControls"/>
    <xsd:element name="d911194701f84a3a9135b63283404e71" ma:index="10" ma:taxonomy="true" ma:internalName="d911194701f84a3a9135b63283404e71" ma:taxonomyFieldName="IdiomaSP" ma:displayName="Idioma" ma:default="" ma:fieldId="{d9111947-01f8-4a3a-9135-b63283404e71}" ma:taxonomyMulti="true" ma:sspId="5645bb3b-70b7-4a0a-bb6c-c47f3dc5b14e" ma:termSetId="e4f8cfe7-bb53-4ef2-81db-270cc20d9ca7"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ccdd7067-d7c6-4ec1-9bf5-3acf66cab821}" ma:internalName="TaxCatchAll" ma:showField="CatchAllData" ma:web="5adc3495-f5d9-4058-9f2d-12b0d72f2b6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ccdd7067-d7c6-4ec1-9bf5-3acf66cab821}" ma:internalName="TaxCatchAllLabel" ma:readOnly="true" ma:showField="CatchAllDataLabel" ma:web="5adc3495-f5d9-4058-9f2d-12b0d72f2b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52e7f8-0e10-4c01-8468-1752a5770a64" elementFormDefault="qualified">
    <xsd:import namespace="http://schemas.microsoft.com/office/2006/documentManagement/types"/>
    <xsd:import namespace="http://schemas.microsoft.com/office/infopath/2007/PartnerControls"/>
    <xsd:element name="AliasSP" ma:index="15" nillable="true" ma:displayName="Alias" ma:internalName="AliasS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adc3495-f5d9-4058-9f2d-12b0d72f2b64">
      <Value>145</Value>
    </TaxCatchAll>
    <d911194701f84a3a9135b63283404e71 xmlns="5adc3495-f5d9-4058-9f2d-12b0d72f2b64">
      <Terms xmlns="http://schemas.microsoft.com/office/infopath/2007/PartnerControls">
        <TermInfo xmlns="http://schemas.microsoft.com/office/infopath/2007/PartnerControls">
          <TermName xmlns="http://schemas.microsoft.com/office/infopath/2007/PartnerControls">Español</TermName>
          <TermId xmlns="http://schemas.microsoft.com/office/infopath/2007/PartnerControls">69af468f-2a04-466e-8d7b-1ff67d3591aa</TermId>
        </TermInfo>
      </Terms>
    </d911194701f84a3a9135b63283404e71>
    <AliasSP xmlns="f152e7f8-0e10-4c01-8468-1752a5770a64" xsi:nil="true"/>
    <TituloSP xmlns="0ab26fd9-f3a4-4932-bb5f-974b43a86ccf">Consulta-formulario&lt;br&gt;&lt;br&gt;</TituloSP>
    <AltSP xmlns="0ab26fd9-f3a4-4932-bb5f-974b43a86ccf" xsi:nil="true"/>
    <FechaPublicacionSP xmlns="0ab26fd9-f3a4-4932-bb5f-974b43a86ccf" xsi:nil="true"/>
    <DescripcionSP xmlns="0ab26fd9-f3a4-4932-bb5f-974b43a86ccf" xsi:nil="true"/>
  </documentManagement>
</p:properties>
</file>

<file path=customXml/itemProps1.xml><?xml version="1.0" encoding="utf-8"?>
<ds:datastoreItem xmlns:ds="http://schemas.openxmlformats.org/officeDocument/2006/customXml" ds:itemID="{DF6CBB1D-117E-48C7-94AA-5CC126D7E377}"/>
</file>

<file path=customXml/itemProps2.xml><?xml version="1.0" encoding="utf-8"?>
<ds:datastoreItem xmlns:ds="http://schemas.openxmlformats.org/officeDocument/2006/customXml" ds:itemID="{5552C33B-5338-46C6-B5BC-E1073E4E31D4}">
  <ds:schemaRefs>
    <ds:schemaRef ds:uri="http://schemas.microsoft.com/sharepoint/v3/contenttype/forms"/>
  </ds:schemaRefs>
</ds:datastoreItem>
</file>

<file path=customXml/itemProps3.xml><?xml version="1.0" encoding="utf-8"?>
<ds:datastoreItem xmlns:ds="http://schemas.openxmlformats.org/officeDocument/2006/customXml" ds:itemID="{40824775-E454-40ED-ADA8-742E40FD445B}">
  <ds:schemaRefs>
    <ds:schemaRef ds:uri="http://schemas.openxmlformats.org/officeDocument/2006/bibliography"/>
  </ds:schemaRefs>
</ds:datastoreItem>
</file>

<file path=customXml/itemProps4.xml><?xml version="1.0" encoding="utf-8"?>
<ds:datastoreItem xmlns:ds="http://schemas.openxmlformats.org/officeDocument/2006/customXml" ds:itemID="{D65806BA-AF23-482C-8738-2F8107BB448A}">
  <ds:schemaRefs>
    <ds:schemaRef ds:uri="http://schemas.microsoft.com/office/2006/metadata/properties"/>
    <ds:schemaRef ds:uri="http://schemas.microsoft.com/office/infopath/2007/PartnerControls"/>
    <ds:schemaRef ds:uri="21596fab-e632-44ce-9416-b08470dbeec1"/>
    <ds:schemaRef ds:uri="11021440-bd88-41ac-bd52-5ba1b7dd933f"/>
  </ds:schemaRefs>
</ds:datastoreItem>
</file>

<file path=docMetadata/LabelInfo.xml><?xml version="1.0" encoding="utf-8"?>
<clbl:labelList xmlns:clbl="http://schemas.microsoft.com/office/2020/mipLabelMetadata">
  <clbl:label id="{fb846522-1163-41af-b1ba-5d0015f6a2d1}" enabled="0" method="" siteId="{fb846522-1163-41af-b1ba-5d0015f6a2d1}" removed="1"/>
</clbl:labelList>
</file>

<file path=docProps/app.xml><?xml version="1.0" encoding="utf-8"?>
<Properties xmlns="http://schemas.openxmlformats.org/officeDocument/2006/extended-properties" xmlns:vt="http://schemas.openxmlformats.org/officeDocument/2006/docPropsVTypes">
  <Template>Normal</Template>
  <TotalTime>23</TotalTime>
  <Pages>1</Pages>
  <Words>2732</Words>
  <Characters>15030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17727</CharactersWithSpaces>
  <SharedDoc>false</SharedDoc>
  <HLinks>
    <vt:vector size="6" baseType="variant">
      <vt:variant>
        <vt:i4>1048688</vt:i4>
      </vt:variant>
      <vt:variant>
        <vt:i4>0</vt:i4>
      </vt:variant>
      <vt:variant>
        <vt:i4>0</vt:i4>
      </vt:variant>
      <vt:variant>
        <vt:i4>5</vt:i4>
      </vt:variant>
      <vt:variant>
        <vt:lpwstr>mailto:audiencia@economia.gob.es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Blanco, Pablo</dc:creator>
  <cp:keywords/>
  <dc:description/>
  <cp:lastModifiedBy>SLEG</cp:lastModifiedBy>
  <cp:revision>29</cp:revision>
  <cp:lastPrinted>2026-02-27T22:01:00Z</cp:lastPrinted>
  <dcterms:created xsi:type="dcterms:W3CDTF">2026-04-30T07:58:00Z</dcterms:created>
  <dcterms:modified xsi:type="dcterms:W3CDTF">2026-05-21T09:03:00Z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0x0101008FF1A553EA44B64A95089CD029D051E5007787A2A54347CA4F9F010EBFDE2E775E</vt:lpwstr>
  </property>
  <property fmtid="{D5CDD505-2E9C-101B-9397-08002B2CF9AE}" pid="3" name="MediaServiceImageTags">
    <vt:lpwstr/>
  </property>
  <property fmtid="{D5CDD505-2E9C-101B-9397-08002B2CF9AE}" pid="4" name="docLang">
    <vt:lpwstr>es</vt:lpwstr>
  </property>
  <property fmtid="{D5CDD505-2E9C-101B-9397-08002B2CF9AE}" pid="5" name="IdiomaSP">
    <vt:lpwstr>145;#Español|69af468f-2a04-466e-8d7b-1ff67d3591aa</vt:lpwstr>
  </property>
</Properties>
</file>