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EF73D" w14:textId="01349F69" w:rsidR="00D538E4" w:rsidRPr="009B22E8" w:rsidRDefault="00D538E4" w:rsidP="00D538E4">
      <w:pPr>
        <w:spacing w:before="240" w:line="360" w:lineRule="auto"/>
        <w:jc w:val="center"/>
        <w:rPr>
          <w:rFonts w:ascii="Arial" w:eastAsia="Times New Roman" w:hAnsi="Arial" w:cs="Arial"/>
          <w:b/>
          <w:bCs/>
          <w:color w:val="002060"/>
          <w:sz w:val="32"/>
          <w:szCs w:val="32"/>
          <w:lang w:eastAsia="es-ES"/>
        </w:rPr>
      </w:pPr>
      <w:r w:rsidRPr="009B22E8">
        <w:rPr>
          <w:rFonts w:ascii="Arial" w:eastAsia="Times New Roman" w:hAnsi="Arial" w:cs="Arial"/>
          <w:b/>
          <w:bCs/>
          <w:color w:val="002060"/>
          <w:sz w:val="32"/>
          <w:szCs w:val="32"/>
          <w:lang w:eastAsia="es-ES"/>
        </w:rPr>
        <w:t xml:space="preserve">INTERVENCIÓN INICIAL DEL </w:t>
      </w:r>
      <w:r>
        <w:rPr>
          <w:rFonts w:ascii="Arial" w:eastAsia="Times New Roman" w:hAnsi="Arial" w:cs="Arial"/>
          <w:b/>
          <w:bCs/>
          <w:color w:val="002060"/>
          <w:sz w:val="32"/>
          <w:szCs w:val="32"/>
          <w:lang w:eastAsia="es-ES"/>
        </w:rPr>
        <w:t xml:space="preserve">VICEPRESIDENTE PRIMERO Y </w:t>
      </w:r>
      <w:r w:rsidRPr="009B22E8">
        <w:rPr>
          <w:rFonts w:ascii="Arial" w:eastAsia="Times New Roman" w:hAnsi="Arial" w:cs="Arial"/>
          <w:b/>
          <w:bCs/>
          <w:color w:val="002060"/>
          <w:sz w:val="32"/>
          <w:szCs w:val="32"/>
          <w:lang w:eastAsia="es-ES"/>
        </w:rPr>
        <w:t xml:space="preserve">MINISTRO DE ECONOMÍA, COMERCIO Y EMPRESA, CARLOS CUERPO, EN LA COMISIÓN </w:t>
      </w:r>
      <w:r>
        <w:rPr>
          <w:rFonts w:ascii="Arial" w:eastAsia="Times New Roman" w:hAnsi="Arial" w:cs="Arial"/>
          <w:b/>
          <w:bCs/>
          <w:color w:val="002060"/>
          <w:sz w:val="32"/>
          <w:szCs w:val="32"/>
          <w:lang w:eastAsia="es-ES"/>
        </w:rPr>
        <w:t>MIXTA PARA LA UNI</w:t>
      </w:r>
      <w:r w:rsidR="00CF2D2A">
        <w:rPr>
          <w:rFonts w:ascii="Arial" w:eastAsia="Times New Roman" w:hAnsi="Arial" w:cs="Arial"/>
          <w:b/>
          <w:bCs/>
          <w:color w:val="002060"/>
          <w:sz w:val="32"/>
          <w:szCs w:val="32"/>
          <w:lang w:eastAsia="es-ES"/>
        </w:rPr>
        <w:t>Ó</w:t>
      </w:r>
      <w:r>
        <w:rPr>
          <w:rFonts w:ascii="Arial" w:eastAsia="Times New Roman" w:hAnsi="Arial" w:cs="Arial"/>
          <w:b/>
          <w:bCs/>
          <w:color w:val="002060"/>
          <w:sz w:val="32"/>
          <w:szCs w:val="32"/>
          <w:lang w:eastAsia="es-ES"/>
        </w:rPr>
        <w:t>N EUROPEA</w:t>
      </w:r>
    </w:p>
    <w:p w14:paraId="04BF8753" w14:textId="7BD50DF5" w:rsidR="00D538E4" w:rsidRPr="00276960" w:rsidRDefault="00D538E4" w:rsidP="00D538E4">
      <w:pPr>
        <w:spacing w:before="240" w:after="280" w:line="360" w:lineRule="auto"/>
        <w:jc w:val="center"/>
        <w:rPr>
          <w:rFonts w:ascii="Arial" w:eastAsia="Times New Roman" w:hAnsi="Arial" w:cs="Arial"/>
          <w:sz w:val="24"/>
          <w:szCs w:val="24"/>
          <w:lang w:eastAsia="es-ES"/>
        </w:rPr>
      </w:pPr>
      <w:r>
        <w:rPr>
          <w:rFonts w:ascii="Arial" w:eastAsia="Times New Roman" w:hAnsi="Arial" w:cs="Arial"/>
          <w:color w:val="002060"/>
          <w:sz w:val="24"/>
          <w:szCs w:val="24"/>
          <w:lang w:eastAsia="es-ES"/>
        </w:rPr>
        <w:t>8</w:t>
      </w:r>
      <w:r w:rsidRPr="00FF775F">
        <w:rPr>
          <w:rFonts w:ascii="Arial" w:eastAsia="Times New Roman" w:hAnsi="Arial" w:cs="Arial"/>
          <w:color w:val="002060"/>
          <w:sz w:val="24"/>
          <w:szCs w:val="24"/>
          <w:lang w:eastAsia="es-ES"/>
        </w:rPr>
        <w:t xml:space="preserve"> de </w:t>
      </w:r>
      <w:r>
        <w:rPr>
          <w:rFonts w:ascii="Arial" w:eastAsia="Times New Roman" w:hAnsi="Arial" w:cs="Arial"/>
          <w:color w:val="002060"/>
          <w:sz w:val="24"/>
          <w:szCs w:val="24"/>
          <w:lang w:eastAsia="es-ES"/>
        </w:rPr>
        <w:t xml:space="preserve">julio </w:t>
      </w:r>
      <w:r w:rsidRPr="00FF775F">
        <w:rPr>
          <w:rFonts w:ascii="Arial" w:eastAsia="Times New Roman" w:hAnsi="Arial" w:cs="Arial"/>
          <w:color w:val="002060"/>
          <w:sz w:val="24"/>
          <w:szCs w:val="24"/>
          <w:lang w:eastAsia="es-ES"/>
        </w:rPr>
        <w:t>de 202</w:t>
      </w:r>
      <w:r>
        <w:rPr>
          <w:rFonts w:ascii="Arial" w:eastAsia="Times New Roman" w:hAnsi="Arial" w:cs="Arial"/>
          <w:color w:val="002060"/>
          <w:sz w:val="24"/>
          <w:szCs w:val="24"/>
          <w:lang w:eastAsia="es-ES"/>
        </w:rPr>
        <w:t>6 – Congreso</w:t>
      </w:r>
    </w:p>
    <w:p w14:paraId="49945FEE" w14:textId="77777777" w:rsidR="00D538E4" w:rsidRDefault="00D538E4" w:rsidP="00D538E4">
      <w:pPr>
        <w:rPr>
          <w:sz w:val="28"/>
          <w:szCs w:val="28"/>
        </w:rPr>
      </w:pPr>
      <w:r w:rsidRPr="00D538E4">
        <w:rPr>
          <w:sz w:val="28"/>
          <w:szCs w:val="28"/>
        </w:rPr>
        <w:t xml:space="preserve">Muchas gracias, Presidente. Como siempre es un placer comparecer ante esta comisión mixta para seguir informando de los avances del plan de recuperación ya en esta recta final. </w:t>
      </w:r>
    </w:p>
    <w:p w14:paraId="32DF54D3" w14:textId="4BF49808" w:rsidR="00D538E4" w:rsidRPr="00D538E4" w:rsidRDefault="00D538E4" w:rsidP="00D538E4">
      <w:pPr>
        <w:rPr>
          <w:sz w:val="28"/>
          <w:szCs w:val="28"/>
        </w:rPr>
      </w:pPr>
      <w:r w:rsidRPr="00D538E4">
        <w:rPr>
          <w:sz w:val="28"/>
          <w:szCs w:val="28"/>
        </w:rPr>
        <w:t xml:space="preserve">Como saben, y empiezo quizá por dar este flash, el pasado 2 de julio, como última noticia, la comisión ha dado luz verde al sexto desembolso para España haciendo una valoración positiva del cumplimiento de 73 </w:t>
      </w:r>
      <w:r>
        <w:rPr>
          <w:sz w:val="28"/>
          <w:szCs w:val="28"/>
        </w:rPr>
        <w:t>hi</w:t>
      </w:r>
      <w:r w:rsidRPr="00D538E4">
        <w:rPr>
          <w:sz w:val="28"/>
          <w:szCs w:val="28"/>
        </w:rPr>
        <w:t xml:space="preserve">tos y objetivos que permite en este caso el desembolso de más de 7.000 millones de euros, en este caso unos 6.000 en transferencias y unos 1.000 en préstamos, lo que consolida o sigue consolidando el liderazgo de España en la ejecución de los fondos del </w:t>
      </w:r>
      <w:r>
        <w:rPr>
          <w:sz w:val="28"/>
          <w:szCs w:val="28"/>
        </w:rPr>
        <w:t>M</w:t>
      </w:r>
      <w:r w:rsidRPr="00D538E4">
        <w:rPr>
          <w:sz w:val="28"/>
          <w:szCs w:val="28"/>
        </w:rPr>
        <w:t xml:space="preserve">ecanismo de </w:t>
      </w:r>
      <w:r>
        <w:rPr>
          <w:sz w:val="28"/>
          <w:szCs w:val="28"/>
        </w:rPr>
        <w:t>R</w:t>
      </w:r>
      <w:r w:rsidRPr="00D538E4">
        <w:rPr>
          <w:sz w:val="28"/>
          <w:szCs w:val="28"/>
        </w:rPr>
        <w:t xml:space="preserve">ecuperación y </w:t>
      </w:r>
      <w:r>
        <w:rPr>
          <w:sz w:val="28"/>
          <w:szCs w:val="28"/>
        </w:rPr>
        <w:t>R</w:t>
      </w:r>
      <w:r w:rsidRPr="00D538E4">
        <w:rPr>
          <w:sz w:val="28"/>
          <w:szCs w:val="28"/>
        </w:rPr>
        <w:t>esiliencia a nivel europeo.</w:t>
      </w:r>
    </w:p>
    <w:p w14:paraId="223E3CDB" w14:textId="77777777" w:rsidR="00D538E4" w:rsidRDefault="00D538E4" w:rsidP="00D538E4">
      <w:pPr>
        <w:rPr>
          <w:sz w:val="28"/>
          <w:szCs w:val="28"/>
        </w:rPr>
      </w:pPr>
      <w:r w:rsidRPr="00D538E4">
        <w:rPr>
          <w:sz w:val="28"/>
          <w:szCs w:val="28"/>
        </w:rPr>
        <w:t xml:space="preserve">Como otras veces también, además de las últimas novedades o de centrarme también en la ejecución del plan, quisiera hacer un apartado o mención específica a avances en la estimación del impacto del plan porque creo que sigue siendo un elemento muy relevante. </w:t>
      </w:r>
    </w:p>
    <w:p w14:paraId="3C7CB7D9" w14:textId="77777777" w:rsidR="00D538E4" w:rsidRDefault="00D538E4" w:rsidP="00D538E4">
      <w:pPr>
        <w:rPr>
          <w:sz w:val="28"/>
          <w:szCs w:val="28"/>
        </w:rPr>
      </w:pPr>
      <w:r w:rsidRPr="00D538E4">
        <w:rPr>
          <w:sz w:val="28"/>
          <w:szCs w:val="28"/>
        </w:rPr>
        <w:t xml:space="preserve">También, desde la última comparecencia, dar todos los datos de los avances y ejemplos concretos de inversiones que se han ido desplegando en los últimos meses. </w:t>
      </w:r>
    </w:p>
    <w:p w14:paraId="4842EC9F" w14:textId="60844C99" w:rsidR="00D538E4" w:rsidRPr="00D538E4" w:rsidRDefault="00D538E4" w:rsidP="00D538E4">
      <w:pPr>
        <w:rPr>
          <w:sz w:val="28"/>
          <w:szCs w:val="28"/>
        </w:rPr>
      </w:pPr>
      <w:r w:rsidRPr="00D538E4">
        <w:rPr>
          <w:sz w:val="28"/>
          <w:szCs w:val="28"/>
        </w:rPr>
        <w:t>Empezamos ya sin más dilación con un gráfico que creo que refleja bien la evolución de la economía española en el último ciclo económico.</w:t>
      </w:r>
      <w:r>
        <w:rPr>
          <w:sz w:val="28"/>
          <w:szCs w:val="28"/>
        </w:rPr>
        <w:t xml:space="preserve"> </w:t>
      </w:r>
      <w:r w:rsidRPr="00D538E4">
        <w:rPr>
          <w:sz w:val="28"/>
          <w:szCs w:val="28"/>
        </w:rPr>
        <w:t>Aquí pueden ver, e intento describirlo con precisión, la evolución de la economía española en dos ciclos. La línea azul representa el ciclo del año 2003 al 2018 y la línea roja representa el ciclo del año 2014 a 2025. Están puestos en torno a los años previos y años posteriores a dos fechas fijas que son las fechas 2007 y 2018 como punto igual a 100 o este T0.</w:t>
      </w:r>
      <w:r>
        <w:rPr>
          <w:sz w:val="28"/>
          <w:szCs w:val="28"/>
        </w:rPr>
        <w:t xml:space="preserve"> </w:t>
      </w:r>
      <w:r w:rsidRPr="00D538E4">
        <w:rPr>
          <w:sz w:val="28"/>
          <w:szCs w:val="28"/>
        </w:rPr>
        <w:t xml:space="preserve">A partir de ahí, por ejemplo, el año T </w:t>
      </w:r>
      <w:r>
        <w:rPr>
          <w:sz w:val="28"/>
          <w:szCs w:val="28"/>
        </w:rPr>
        <w:t>+</w:t>
      </w:r>
      <w:r w:rsidRPr="00D538E4">
        <w:rPr>
          <w:sz w:val="28"/>
          <w:szCs w:val="28"/>
        </w:rPr>
        <w:t xml:space="preserve"> 1 en la línea roja sería el equivalente al 2019. Por eso podemos ver que el año T </w:t>
      </w:r>
      <w:r>
        <w:rPr>
          <w:sz w:val="28"/>
          <w:szCs w:val="28"/>
        </w:rPr>
        <w:t>+</w:t>
      </w:r>
      <w:r w:rsidRPr="00D538E4">
        <w:rPr>
          <w:sz w:val="28"/>
          <w:szCs w:val="28"/>
        </w:rPr>
        <w:t xml:space="preserve"> 2 para la línea roja es esa caída del PIB que se </w:t>
      </w:r>
      <w:r w:rsidRPr="00D538E4">
        <w:rPr>
          <w:sz w:val="28"/>
          <w:szCs w:val="28"/>
        </w:rPr>
        <w:lastRenderedPageBreak/>
        <w:t xml:space="preserve">corresponde evidentemente con el año 2020 con la recesión asociada al PIB. Al igual para la línea azul, el año T </w:t>
      </w:r>
      <w:r>
        <w:rPr>
          <w:sz w:val="28"/>
          <w:szCs w:val="28"/>
        </w:rPr>
        <w:t>+</w:t>
      </w:r>
      <w:r w:rsidRPr="00D538E4">
        <w:rPr>
          <w:sz w:val="28"/>
          <w:szCs w:val="28"/>
        </w:rPr>
        <w:t xml:space="preserve"> 1 se corresponde con el 2008 donde todavía se creció de manera baja pero se creció en positivo</w:t>
      </w:r>
      <w:r>
        <w:rPr>
          <w:sz w:val="28"/>
          <w:szCs w:val="28"/>
        </w:rPr>
        <w:t>;</w:t>
      </w:r>
      <w:r w:rsidRPr="00D538E4">
        <w:rPr>
          <w:sz w:val="28"/>
          <w:szCs w:val="28"/>
        </w:rPr>
        <w:t xml:space="preserve"> y luego T </w:t>
      </w:r>
      <w:r>
        <w:rPr>
          <w:sz w:val="28"/>
          <w:szCs w:val="28"/>
        </w:rPr>
        <w:t>+</w:t>
      </w:r>
      <w:r w:rsidRPr="00D538E4">
        <w:rPr>
          <w:sz w:val="28"/>
          <w:szCs w:val="28"/>
        </w:rPr>
        <w:t xml:space="preserve"> 2 ya sería el año 2009 con la primera caída del PIB que tuvo lugar como consecuencia de la crisis financiera.</w:t>
      </w:r>
    </w:p>
    <w:p w14:paraId="4A7C7C08" w14:textId="2FD09346" w:rsidR="00D538E4" w:rsidRPr="00D538E4" w:rsidRDefault="00D538E4" w:rsidP="00D538E4">
      <w:pPr>
        <w:rPr>
          <w:sz w:val="28"/>
          <w:szCs w:val="28"/>
        </w:rPr>
      </w:pPr>
      <w:r w:rsidRPr="00D538E4">
        <w:rPr>
          <w:sz w:val="28"/>
          <w:szCs w:val="28"/>
        </w:rPr>
        <w:t xml:space="preserve">Pues bien, como pueden ver en este gráfico, estamos frente a una recuperación muy distinta en estos dos ciclos económicos y esto yo creo que es necesario señalarlo desde el principio. Una respuesta diferencial, entre otras cosas, desde el marco europeo y quiero centrarme también en ese punto, en el marco europeo, a esta crisis frente a la crisis anterior. Por ejemplo, poniendo en marcha los fondos del </w:t>
      </w:r>
      <w:r>
        <w:rPr>
          <w:sz w:val="28"/>
          <w:szCs w:val="28"/>
        </w:rPr>
        <w:t>P</w:t>
      </w:r>
      <w:r w:rsidRPr="00D538E4">
        <w:rPr>
          <w:sz w:val="28"/>
          <w:szCs w:val="28"/>
        </w:rPr>
        <w:t xml:space="preserve">lan de </w:t>
      </w:r>
      <w:r>
        <w:rPr>
          <w:sz w:val="28"/>
          <w:szCs w:val="28"/>
        </w:rPr>
        <w:t>R</w:t>
      </w:r>
      <w:r w:rsidRPr="00D538E4">
        <w:rPr>
          <w:sz w:val="28"/>
          <w:szCs w:val="28"/>
        </w:rPr>
        <w:t>ecuperación a través de esta emisión de deuda conjunta, ha supuesto en este caso que un país como España, con acceso también a estos fondos y con una agenda de inversión y reformas muy ambiciosa, haya podido recuperar, lo hemos dicho muchas veces, no sólo el nivel sino la tendencia de crecimiento que teníamos previa a la llegada del COVID en el año 2020.</w:t>
      </w:r>
    </w:p>
    <w:p w14:paraId="6F07C8D0" w14:textId="77777777" w:rsidR="00D538E4" w:rsidRDefault="00D538E4" w:rsidP="00D538E4">
      <w:pPr>
        <w:rPr>
          <w:sz w:val="28"/>
          <w:szCs w:val="28"/>
        </w:rPr>
      </w:pPr>
      <w:r w:rsidRPr="00D538E4">
        <w:rPr>
          <w:sz w:val="28"/>
          <w:szCs w:val="28"/>
        </w:rPr>
        <w:t>Esto</w:t>
      </w:r>
      <w:r>
        <w:rPr>
          <w:sz w:val="28"/>
          <w:szCs w:val="28"/>
        </w:rPr>
        <w:t xml:space="preserve">, </w:t>
      </w:r>
      <w:r w:rsidRPr="00D538E4">
        <w:rPr>
          <w:sz w:val="28"/>
          <w:szCs w:val="28"/>
        </w:rPr>
        <w:t>contrariamente a lo que sucedió en el pasado ciclo</w:t>
      </w:r>
      <w:r>
        <w:rPr>
          <w:sz w:val="28"/>
          <w:szCs w:val="28"/>
        </w:rPr>
        <w:t xml:space="preserve">, </w:t>
      </w:r>
      <w:r w:rsidRPr="00D538E4">
        <w:rPr>
          <w:sz w:val="28"/>
          <w:szCs w:val="28"/>
        </w:rPr>
        <w:t xml:space="preserve">donde vemos que se abrió una brecha estructural con respecto a nuestras previsiones, a nuestras expectativas de crecimiento y puede verse perfectamente en la línea azul. </w:t>
      </w:r>
    </w:p>
    <w:p w14:paraId="2378BCBF" w14:textId="77777777" w:rsidR="00D538E4" w:rsidRDefault="00D538E4" w:rsidP="00D538E4">
      <w:pPr>
        <w:rPr>
          <w:sz w:val="28"/>
          <w:szCs w:val="28"/>
        </w:rPr>
      </w:pPr>
      <w:r w:rsidRPr="00D538E4">
        <w:rPr>
          <w:sz w:val="28"/>
          <w:szCs w:val="28"/>
        </w:rPr>
        <w:t>Pero este comportamiento diferencial</w:t>
      </w:r>
      <w:r>
        <w:rPr>
          <w:sz w:val="28"/>
          <w:szCs w:val="28"/>
        </w:rPr>
        <w:t xml:space="preserve">, </w:t>
      </w:r>
      <w:r w:rsidRPr="00D538E4">
        <w:rPr>
          <w:sz w:val="28"/>
          <w:szCs w:val="28"/>
        </w:rPr>
        <w:t>positivo de la economía española no sólo se refleja cuando la comparamos con el ciclo anterior</w:t>
      </w:r>
      <w:r>
        <w:rPr>
          <w:sz w:val="28"/>
          <w:szCs w:val="28"/>
        </w:rPr>
        <w:t xml:space="preserve">, </w:t>
      </w:r>
      <w:r w:rsidRPr="00D538E4">
        <w:rPr>
          <w:sz w:val="28"/>
          <w:szCs w:val="28"/>
        </w:rPr>
        <w:t>sino también es notable cuando la comparamos en este mismo ciclo contra las principales economías europeas. En este caso</w:t>
      </w:r>
      <w:r>
        <w:rPr>
          <w:sz w:val="28"/>
          <w:szCs w:val="28"/>
        </w:rPr>
        <w:t xml:space="preserve">, </w:t>
      </w:r>
      <w:r w:rsidRPr="00D538E4">
        <w:rPr>
          <w:sz w:val="28"/>
          <w:szCs w:val="28"/>
        </w:rPr>
        <w:t>podemos ver en este gráfico para España, Francia, Alemania e Italia dos líneas</w:t>
      </w:r>
      <w:r>
        <w:rPr>
          <w:sz w:val="28"/>
          <w:szCs w:val="28"/>
        </w:rPr>
        <w:t xml:space="preserve">: </w:t>
      </w:r>
      <w:r w:rsidRPr="00D538E4">
        <w:rPr>
          <w:sz w:val="28"/>
          <w:szCs w:val="28"/>
        </w:rPr>
        <w:t>una de ellas, la línea continua, que representa la evolución del PIB en niveles desde el año 2017 hasta el año 2025, el último año cerrado</w:t>
      </w:r>
      <w:r>
        <w:rPr>
          <w:sz w:val="28"/>
          <w:szCs w:val="28"/>
        </w:rPr>
        <w:t xml:space="preserve">; </w:t>
      </w:r>
      <w:r w:rsidRPr="00D538E4">
        <w:rPr>
          <w:sz w:val="28"/>
          <w:szCs w:val="28"/>
        </w:rPr>
        <w:t>y luego tenemos la línea discontinua.</w:t>
      </w:r>
      <w:r>
        <w:rPr>
          <w:sz w:val="28"/>
          <w:szCs w:val="28"/>
        </w:rPr>
        <w:t xml:space="preserve"> </w:t>
      </w:r>
      <w:r w:rsidRPr="00D538E4">
        <w:rPr>
          <w:sz w:val="28"/>
          <w:szCs w:val="28"/>
        </w:rPr>
        <w:t xml:space="preserve">La línea discontinua representa las previsiones que realizó el FMI en primavera del 2018 hacia adelante para estas economías. Vemos, por lo tanto, cuál era la previsión del FMI para España, Francia, Alemania e Italia y cómo se ha ido cumpliendo esta previsión o no, dependiendo del caso. </w:t>
      </w:r>
    </w:p>
    <w:p w14:paraId="6A5EAD7C" w14:textId="5E21FCDE" w:rsidR="00D538E4" w:rsidRPr="00D538E4" w:rsidRDefault="00D538E4" w:rsidP="00D538E4">
      <w:pPr>
        <w:rPr>
          <w:sz w:val="28"/>
          <w:szCs w:val="28"/>
        </w:rPr>
      </w:pPr>
      <w:r w:rsidRPr="00D538E4">
        <w:rPr>
          <w:sz w:val="28"/>
          <w:szCs w:val="28"/>
        </w:rPr>
        <w:t>De nuevo, para el caso de España vemos dos elementos que yo creo que son importantes.</w:t>
      </w:r>
      <w:r>
        <w:rPr>
          <w:sz w:val="28"/>
          <w:szCs w:val="28"/>
        </w:rPr>
        <w:t xml:space="preserve"> </w:t>
      </w:r>
      <w:r w:rsidRPr="00D538E4">
        <w:rPr>
          <w:sz w:val="28"/>
          <w:szCs w:val="28"/>
        </w:rPr>
        <w:t xml:space="preserve">Primero es que el FMI tenía una previsión de crecimiento por encima del resto de economías, muy cercana en este caso, por ejemplo, a Francia. Se preveía que acabáramos este periodo habiendo crecido con respecto al año 2017 16,1 punto porcentual. Francia estaba en los 14,8, </w:t>
      </w:r>
      <w:r w:rsidRPr="00D538E4">
        <w:rPr>
          <w:sz w:val="28"/>
          <w:szCs w:val="28"/>
        </w:rPr>
        <w:lastRenderedPageBreak/>
        <w:t>Alemania estaba en 13 e Italia estaba por debajo de la mitad del crecimiento esperado para España, puesto que se esperaba que de 100 llegara a 107,7.</w:t>
      </w:r>
    </w:p>
    <w:p w14:paraId="57E9C541" w14:textId="77777777" w:rsidR="00D538E4" w:rsidRDefault="00D538E4" w:rsidP="00D538E4">
      <w:pPr>
        <w:rPr>
          <w:sz w:val="28"/>
          <w:szCs w:val="28"/>
        </w:rPr>
      </w:pPr>
      <w:r w:rsidRPr="00D538E4">
        <w:rPr>
          <w:sz w:val="28"/>
          <w:szCs w:val="28"/>
        </w:rPr>
        <w:t xml:space="preserve">Estas cifras están todas puestas en base 100 para poder ser comparadas, base 100 para el año 2017. Por tanto, primer elemento, el FMI en el año 2008 esperaba un crecimiento significativo para España en los años subsiguientes, por supuesto, sin saber todavía las numerosas crisis que íbamos a tener que enfrentar todos. </w:t>
      </w:r>
    </w:p>
    <w:p w14:paraId="4D327059" w14:textId="58EEB02E" w:rsidR="00D538E4" w:rsidRPr="00D538E4" w:rsidRDefault="00D538E4" w:rsidP="00D538E4">
      <w:pPr>
        <w:rPr>
          <w:sz w:val="28"/>
          <w:szCs w:val="28"/>
        </w:rPr>
      </w:pPr>
      <w:r w:rsidRPr="00D538E4">
        <w:rPr>
          <w:sz w:val="28"/>
          <w:szCs w:val="28"/>
        </w:rPr>
        <w:t>Más allá de esto, otro elemento esencial que se ve en este gráfico es cómo la realidad de lo sucedido en el crecimiento en nuestro país ha sido capaz de, pese a ser el más afectado por la crisis del COVID, recuperar o prácticamente cerrar esa brecha con respecto a las previsiones originales del año 2018 que realizó el FMI.</w:t>
      </w:r>
    </w:p>
    <w:p w14:paraId="63B70773" w14:textId="77777777" w:rsidR="00D538E4" w:rsidRDefault="00D538E4" w:rsidP="00D538E4">
      <w:pPr>
        <w:rPr>
          <w:sz w:val="28"/>
          <w:szCs w:val="28"/>
        </w:rPr>
      </w:pPr>
      <w:r w:rsidRPr="00D538E4">
        <w:rPr>
          <w:sz w:val="28"/>
          <w:szCs w:val="28"/>
        </w:rPr>
        <w:t xml:space="preserve">Esto, de nuevo, es otra señal, otro reflejo, otra evidencia de cómo España ha salido de estas crisis sucesivas sin, en este caso, cicatrices y convergiendo a esa tendencia, a esas expectativas realizadas o esperables desde el año 2018 por, en este caso, los servicios técnicos del FMI. Y este no es el caso de países como Francia o Alemania, donde vemos que se ha abierto una brecha estructural con respecto a esas perspectivas de crecimiento que tenían. </w:t>
      </w:r>
    </w:p>
    <w:p w14:paraId="230CDB4E" w14:textId="3E4121B6" w:rsidR="00D538E4" w:rsidRPr="00D538E4" w:rsidRDefault="00D538E4" w:rsidP="00D538E4">
      <w:pPr>
        <w:rPr>
          <w:sz w:val="28"/>
          <w:szCs w:val="28"/>
        </w:rPr>
      </w:pPr>
      <w:r w:rsidRPr="00D538E4">
        <w:rPr>
          <w:sz w:val="28"/>
          <w:szCs w:val="28"/>
        </w:rPr>
        <w:t>De nuevo, por lo tanto, y por cerrar esta primera parte, podemos ver que el dinamismo, la resiliencia de la economía española ha supuesto, en este caso, un comportamiento diferencial positivo no sólo con respecto a etapas anteriores, sino también con respecto a nuestros principales socios, a las principales economías de la Unión Europea.</w:t>
      </w:r>
    </w:p>
    <w:p w14:paraId="7EC14A56" w14:textId="77777777" w:rsidR="00D538E4" w:rsidRDefault="00D538E4" w:rsidP="00D538E4">
      <w:pPr>
        <w:rPr>
          <w:sz w:val="28"/>
          <w:szCs w:val="28"/>
        </w:rPr>
      </w:pPr>
    </w:p>
    <w:p w14:paraId="09C8CED5" w14:textId="77777777" w:rsidR="00D538E4" w:rsidRDefault="00D538E4" w:rsidP="00D538E4">
      <w:pPr>
        <w:rPr>
          <w:sz w:val="28"/>
          <w:szCs w:val="28"/>
        </w:rPr>
      </w:pPr>
      <w:r w:rsidRPr="00D538E4">
        <w:rPr>
          <w:sz w:val="28"/>
          <w:szCs w:val="28"/>
        </w:rPr>
        <w:t>Este comportamiento positivo</w:t>
      </w:r>
      <w:r>
        <w:rPr>
          <w:sz w:val="28"/>
          <w:szCs w:val="28"/>
        </w:rPr>
        <w:t>,</w:t>
      </w:r>
      <w:r w:rsidRPr="00D538E4">
        <w:rPr>
          <w:sz w:val="28"/>
          <w:szCs w:val="28"/>
        </w:rPr>
        <w:t xml:space="preserve"> diferencial con respecto a las principales economías de la Unión Europea ha supuesto también, como podemos ver en esta diapositiva, un elemento de convergencia, en este caso en PIB per cápita medido en paridad de poder de compra, es decir, teniendo en cuenta la evolución también de los precios y de la cesta de la compra en estas distintas economías</w:t>
      </w:r>
      <w:r>
        <w:rPr>
          <w:sz w:val="28"/>
          <w:szCs w:val="28"/>
        </w:rPr>
        <w:t>. V</w:t>
      </w:r>
      <w:r w:rsidRPr="00D538E4">
        <w:rPr>
          <w:sz w:val="28"/>
          <w:szCs w:val="28"/>
        </w:rPr>
        <w:t xml:space="preserve">emos cómo, en el caso de España, estamos ahora mismo en niveles de convergencia con respecto a la zona euro, Alemania, Italia o Francia, por encima del año 2019 y en algunos casos incluso en máximos de la serie, como pueda ser el caso de Italia. </w:t>
      </w:r>
    </w:p>
    <w:p w14:paraId="28FA93C9" w14:textId="77777777" w:rsidR="00F738B7" w:rsidRDefault="00D538E4" w:rsidP="00D538E4">
      <w:pPr>
        <w:rPr>
          <w:sz w:val="28"/>
          <w:szCs w:val="28"/>
        </w:rPr>
      </w:pPr>
      <w:r w:rsidRPr="00D538E4">
        <w:rPr>
          <w:sz w:val="28"/>
          <w:szCs w:val="28"/>
        </w:rPr>
        <w:lastRenderedPageBreak/>
        <w:t>Simplemente por recordarles la interpretación de este gráfico, lo que vemos aquí es el porcentaje que supone el PIB per cápita de España con respecto a estas zonas de referencia. Es decir, por ejemplo, el valor del 96 del año 2025 de la línea verde quiere decir que en el año 2025 el PIB per cápita de España era el 96% del italiano.</w:t>
      </w:r>
      <w:r>
        <w:rPr>
          <w:sz w:val="28"/>
          <w:szCs w:val="28"/>
        </w:rPr>
        <w:t xml:space="preserve"> </w:t>
      </w:r>
      <w:r w:rsidRPr="00D538E4">
        <w:rPr>
          <w:sz w:val="28"/>
          <w:szCs w:val="28"/>
        </w:rPr>
        <w:t>Así es como debemos interpretar este gráfico. Como digo, en este caso, en el caso italiano, en máximos de la serie que va hasta el año 1997. De nuevo, si lo vemos con respecto a la zona euro o con respecto a Alemania o Francia, vemos de nuevo que estamos por encima de lo que estábamos en el periodo 14-18, donde, como pueden ver además, existió</w:t>
      </w:r>
      <w:r w:rsidR="00F738B7">
        <w:rPr>
          <w:sz w:val="28"/>
          <w:szCs w:val="28"/>
        </w:rPr>
        <w:t xml:space="preserve">, </w:t>
      </w:r>
      <w:r w:rsidRPr="00D538E4">
        <w:rPr>
          <w:sz w:val="28"/>
          <w:szCs w:val="28"/>
        </w:rPr>
        <w:t>estas líneas</w:t>
      </w:r>
      <w:r w:rsidR="00F738B7">
        <w:rPr>
          <w:sz w:val="28"/>
          <w:szCs w:val="28"/>
        </w:rPr>
        <w:t xml:space="preserve"> e</w:t>
      </w:r>
      <w:r w:rsidRPr="00D538E4">
        <w:rPr>
          <w:sz w:val="28"/>
          <w:szCs w:val="28"/>
        </w:rPr>
        <w:t xml:space="preserve">stán planas entre el periodo 14-18, puesto que no hubo convergencia con respecto a los principales países de la Unión o con respecto a la zona euro. </w:t>
      </w:r>
    </w:p>
    <w:p w14:paraId="30322B60" w14:textId="77777777" w:rsidR="00F738B7" w:rsidRDefault="00F738B7" w:rsidP="00D538E4">
      <w:pPr>
        <w:rPr>
          <w:sz w:val="28"/>
          <w:szCs w:val="28"/>
        </w:rPr>
      </w:pPr>
    </w:p>
    <w:p w14:paraId="3C441005" w14:textId="77777777" w:rsidR="00F738B7" w:rsidRDefault="00D538E4" w:rsidP="00D538E4">
      <w:pPr>
        <w:rPr>
          <w:sz w:val="28"/>
          <w:szCs w:val="28"/>
        </w:rPr>
      </w:pPr>
      <w:r w:rsidRPr="00D538E4">
        <w:rPr>
          <w:sz w:val="28"/>
          <w:szCs w:val="28"/>
        </w:rPr>
        <w:t>Aterrizando o dando un paso más allá, intentando ver una de las palancas detrás de este proceso de crecimiento y convergencia de nuestra economía, el Plan de Recuperación podemos, en este caso, atender a estudios o a un análisis realizado por Funcas sobre el impacto macro en términos de PIB del Plan de Recuperación, atendiendo exclusivamente a las inversiones</w:t>
      </w:r>
      <w:r w:rsidR="00F738B7">
        <w:rPr>
          <w:sz w:val="28"/>
          <w:szCs w:val="28"/>
        </w:rPr>
        <w:t>;</w:t>
      </w:r>
      <w:r w:rsidRPr="00D538E4">
        <w:rPr>
          <w:sz w:val="28"/>
          <w:szCs w:val="28"/>
        </w:rPr>
        <w:t xml:space="preserve"> sin tener en cuenta, y esto es importante, el impacto positivo de las reformas estructurales que, en su mayor parte, como sabemos, tienden a materializarse también en el medio-largo plazo. </w:t>
      </w:r>
    </w:p>
    <w:p w14:paraId="78B257B5" w14:textId="16A74FAE" w:rsidR="00D538E4" w:rsidRPr="00D538E4" w:rsidRDefault="00D538E4" w:rsidP="00D538E4">
      <w:pPr>
        <w:rPr>
          <w:sz w:val="28"/>
          <w:szCs w:val="28"/>
        </w:rPr>
      </w:pPr>
      <w:r w:rsidRPr="00D538E4">
        <w:rPr>
          <w:sz w:val="28"/>
          <w:szCs w:val="28"/>
        </w:rPr>
        <w:t>Este estudio de Funcas señala una contribución positiva de los fondos del Plan de Recuperación, que explican, pueden ver, el 14% y el 19% en el último año, en el año 2025, o en el promedio de estos años, entre el 21 y el 25, explican los fondos del Plan de Recuperación entre el 10% y el 14% del crecimiento medio anual de nuestro PIB.</w:t>
      </w:r>
      <w:r w:rsidR="00F738B7">
        <w:rPr>
          <w:sz w:val="28"/>
          <w:szCs w:val="28"/>
        </w:rPr>
        <w:t xml:space="preserve"> </w:t>
      </w:r>
      <w:r w:rsidRPr="00D538E4">
        <w:rPr>
          <w:sz w:val="28"/>
          <w:szCs w:val="28"/>
        </w:rPr>
        <w:t>Esto, de nuevo, refleja el impacto neto positivo de este esfuerzo, enorme esfuerzo inversor asociado a los fondos europeos. De hecho, también se señala que en un horizonte de cinco años el efecto nivel total estaría en 1,5 puntos porcentuales, y esto, de nuevo, es otra señal positiva de cambios estructurales asociados a estos fondos del Plan de Recuperación. Hay otras formas de verlo, ya lo hemos visto en algunas comparecencias anteriores, como, por ejemplo, la subida en las estimaciones de crecimiento potencial.</w:t>
      </w:r>
    </w:p>
    <w:p w14:paraId="7C67A30B" w14:textId="77777777" w:rsidR="00F738B7" w:rsidRDefault="00D538E4" w:rsidP="00D538E4">
      <w:pPr>
        <w:rPr>
          <w:sz w:val="28"/>
          <w:szCs w:val="28"/>
        </w:rPr>
      </w:pPr>
      <w:r w:rsidRPr="00D538E4">
        <w:rPr>
          <w:sz w:val="28"/>
          <w:szCs w:val="28"/>
        </w:rPr>
        <w:t xml:space="preserve">Y, como he dicho, esto es, en principio, un margen inferior, un umbral inferior en cuanto al impacto, puesto que a esto habría que sumarle el efecto de las reformas ligadas al Plan de Recuperación. </w:t>
      </w:r>
    </w:p>
    <w:p w14:paraId="43164C8B" w14:textId="18C0D9C9" w:rsidR="00D538E4" w:rsidRPr="00D538E4" w:rsidRDefault="00D538E4" w:rsidP="00D538E4">
      <w:pPr>
        <w:rPr>
          <w:sz w:val="28"/>
          <w:szCs w:val="28"/>
        </w:rPr>
      </w:pPr>
      <w:r w:rsidRPr="00D538E4">
        <w:rPr>
          <w:sz w:val="28"/>
          <w:szCs w:val="28"/>
        </w:rPr>
        <w:lastRenderedPageBreak/>
        <w:t>Aquí, también, siguiendo la valoración de este mismo informe de Funca</w:t>
      </w:r>
      <w:r w:rsidR="00CF2D2A">
        <w:rPr>
          <w:sz w:val="28"/>
          <w:szCs w:val="28"/>
        </w:rPr>
        <w:t>s</w:t>
      </w:r>
      <w:r w:rsidRPr="00D538E4">
        <w:rPr>
          <w:sz w:val="28"/>
          <w:szCs w:val="28"/>
        </w:rPr>
        <w:t xml:space="preserve"> sobre el impacto de los fondos Next Generation, estamos viendo algunos indicadores de transformación productiva. En este caso, el crecimiento de la productividad por hora.</w:t>
      </w:r>
      <w:r w:rsidR="00F738B7">
        <w:rPr>
          <w:sz w:val="28"/>
          <w:szCs w:val="28"/>
        </w:rPr>
        <w:t xml:space="preserve"> </w:t>
      </w:r>
      <w:r w:rsidRPr="00D538E4">
        <w:rPr>
          <w:sz w:val="28"/>
          <w:szCs w:val="28"/>
        </w:rPr>
        <w:t>Vemos, en este caso, el crecimiento de la productividad por hora cuando comparamos dos periodos. Estas son las barras grises, que es cómo creció la productividad por hora en el periodo 21-24 frente al periodo 16-19, y vemos que, en este caso, cuando cogemos las cuatro grandes economías de la zona euro de la Unión Europea, España es el único país donde ha acelerado la productividad por hora en el periodo 21-24 frente al periodo 16-19, contrariamente a lo que ocurre en el resto de países, como estamos viendo. Por lo tanto, de nuevo, otra señal, según refleja este informe de Funca</w:t>
      </w:r>
      <w:r w:rsidR="00CF2D2A">
        <w:rPr>
          <w:sz w:val="28"/>
          <w:szCs w:val="28"/>
        </w:rPr>
        <w:t>s</w:t>
      </w:r>
      <w:r w:rsidRPr="00D538E4">
        <w:rPr>
          <w:sz w:val="28"/>
          <w:szCs w:val="28"/>
        </w:rPr>
        <w:t>, de modernización o de impacto contribuyendo a la modernización de los fondos del Plan de Recuperación</w:t>
      </w:r>
      <w:r w:rsidR="00F738B7">
        <w:rPr>
          <w:sz w:val="28"/>
          <w:szCs w:val="28"/>
        </w:rPr>
        <w:t>. S</w:t>
      </w:r>
      <w:r w:rsidRPr="00D538E4">
        <w:rPr>
          <w:sz w:val="28"/>
          <w:szCs w:val="28"/>
        </w:rPr>
        <w:t>eñalando, además, que lo esperable es que la aportación se vaya trasladando o materializando de forma gradual con cierto desfase temporal, con lo cual es de esperar que estos efectos acaben siendo incluso mayores.</w:t>
      </w:r>
    </w:p>
    <w:p w14:paraId="55BB6C0A" w14:textId="77777777" w:rsidR="00F738B7" w:rsidRDefault="00F738B7" w:rsidP="00D538E4">
      <w:pPr>
        <w:rPr>
          <w:sz w:val="28"/>
          <w:szCs w:val="28"/>
        </w:rPr>
      </w:pPr>
    </w:p>
    <w:p w14:paraId="5665F27C" w14:textId="77777777" w:rsidR="00F738B7" w:rsidRDefault="00D538E4" w:rsidP="00D538E4">
      <w:pPr>
        <w:rPr>
          <w:sz w:val="28"/>
          <w:szCs w:val="28"/>
        </w:rPr>
      </w:pPr>
      <w:r w:rsidRPr="00D538E4">
        <w:rPr>
          <w:sz w:val="28"/>
          <w:szCs w:val="28"/>
        </w:rPr>
        <w:t xml:space="preserve">Si vamos ahora a la siguiente diapositiva, vemos un análisis realizado por el Banco de España que está en su informe anual del año 2026, donde también reflejan el impacto de algunas de las medidas del Plan de Recuperación. </w:t>
      </w:r>
    </w:p>
    <w:p w14:paraId="49834D08" w14:textId="4B40647E" w:rsidR="00D538E4" w:rsidRPr="00D538E4" w:rsidRDefault="00D538E4" w:rsidP="00D538E4">
      <w:pPr>
        <w:rPr>
          <w:sz w:val="28"/>
          <w:szCs w:val="28"/>
        </w:rPr>
      </w:pPr>
      <w:r w:rsidRPr="00D538E4">
        <w:rPr>
          <w:sz w:val="28"/>
          <w:szCs w:val="28"/>
        </w:rPr>
        <w:t xml:space="preserve">En este caso, atendiendo al impacto de la reforma laboral, hemos dicho en numerosas ocasiones el impacto de la reducción de la temporalidad asociado a la reforma laboral, una temporalidad que ha pasado desde el año 2021 del 25% </w:t>
      </w:r>
      <w:r w:rsidR="00F738B7">
        <w:rPr>
          <w:sz w:val="28"/>
          <w:szCs w:val="28"/>
        </w:rPr>
        <w:t xml:space="preserve">a </w:t>
      </w:r>
      <w:r w:rsidRPr="00D538E4">
        <w:rPr>
          <w:sz w:val="28"/>
          <w:szCs w:val="28"/>
        </w:rPr>
        <w:t>por debajo del 15% en el año 2025, acercándonos de forma progresiva a la media de la Unión Europea. Pues bien, esta reducción de la temporalidad no es un efecto estadístico, al contrario, tiene un efecto positivo, como podemos ver en esta gráfica, en la productividad a través de tres canales.</w:t>
      </w:r>
    </w:p>
    <w:p w14:paraId="691A3153" w14:textId="77777777" w:rsidR="00F738B7" w:rsidRDefault="00D538E4" w:rsidP="00D538E4">
      <w:pPr>
        <w:rPr>
          <w:sz w:val="28"/>
          <w:szCs w:val="28"/>
        </w:rPr>
      </w:pPr>
      <w:r w:rsidRPr="00D538E4">
        <w:rPr>
          <w:sz w:val="28"/>
          <w:szCs w:val="28"/>
        </w:rPr>
        <w:t xml:space="preserve">Nos señalan también mayor acumulación de capital humano, más incentivos, por supuesto, a la formación y un cierto efecto selección que desplaza a las empresas menos productivas. De hecho, lo que vemos en este gráfico es que las empresas con mayor uso de contratos temporales antes de la reforma, es decir, que más se han beneficiado de la reforma en cuanto a estabilidad en la contratación, son aquellas más afectadas de manera positiva con un mayor incremento de la productividad y, por lo tanto, ayuda a cerrar esa brecha entre las empresas menos productivas y </w:t>
      </w:r>
      <w:r w:rsidRPr="00D538E4">
        <w:rPr>
          <w:sz w:val="28"/>
          <w:szCs w:val="28"/>
        </w:rPr>
        <w:lastRenderedPageBreak/>
        <w:t xml:space="preserve">las más productivas gracias al incremento en la estabilidad del empleo, al incremento en la contratación indefinida. </w:t>
      </w:r>
    </w:p>
    <w:p w14:paraId="4D2F1242" w14:textId="005C1EE7" w:rsidR="00D538E4" w:rsidRPr="00D538E4" w:rsidRDefault="00D538E4" w:rsidP="00D538E4">
      <w:pPr>
        <w:rPr>
          <w:sz w:val="28"/>
          <w:szCs w:val="28"/>
        </w:rPr>
      </w:pPr>
      <w:r w:rsidRPr="00D538E4">
        <w:rPr>
          <w:sz w:val="28"/>
          <w:szCs w:val="28"/>
        </w:rPr>
        <w:t>Este efecto de la reforma laboral, de nuevo, es otro de los puntos positivos, esenciales, normalmente menos reflejados, pero que queremos que quede claro también porque las reformas estructurales llevan asociados efectos también permanentes y aquí lo que vemos es que entre el año 2022 y 2024, que son los años desde la aplicación de la reforma laboral, la productividad de estas empresas creció alrededor de un 0,9% más que las de las empresas que realizaban de manera previa a la implementación de la reforma laboral un menor uso de la temporalidad.</w:t>
      </w:r>
    </w:p>
    <w:p w14:paraId="1F63296B" w14:textId="77777777" w:rsidR="00F738B7" w:rsidRDefault="00D538E4" w:rsidP="00D538E4">
      <w:pPr>
        <w:rPr>
          <w:sz w:val="28"/>
          <w:szCs w:val="28"/>
        </w:rPr>
      </w:pPr>
      <w:r w:rsidRPr="00D538E4">
        <w:rPr>
          <w:sz w:val="28"/>
          <w:szCs w:val="28"/>
        </w:rPr>
        <w:t xml:space="preserve">Por lo tanto, esa reducción de la temporalidad ha supuesto un mayor crecimiento en términos de productividad para las empresas que más lo han utilizado. </w:t>
      </w:r>
    </w:p>
    <w:p w14:paraId="2E107146" w14:textId="77777777" w:rsidR="00F738B7" w:rsidRDefault="00F738B7" w:rsidP="00D538E4">
      <w:pPr>
        <w:rPr>
          <w:sz w:val="28"/>
          <w:szCs w:val="28"/>
        </w:rPr>
      </w:pPr>
    </w:p>
    <w:p w14:paraId="21DC4C77" w14:textId="0C32D373" w:rsidR="00D538E4" w:rsidRPr="00D538E4" w:rsidRDefault="00D538E4" w:rsidP="00D538E4">
      <w:pPr>
        <w:rPr>
          <w:sz w:val="28"/>
          <w:szCs w:val="28"/>
        </w:rPr>
      </w:pPr>
      <w:r w:rsidRPr="00D538E4">
        <w:rPr>
          <w:sz w:val="28"/>
          <w:szCs w:val="28"/>
        </w:rPr>
        <w:t xml:space="preserve">Seguimos con efectos de largo plazo, en este caso, asociados a otra de las medidas que es el </w:t>
      </w:r>
      <w:r w:rsidR="00F738B7">
        <w:rPr>
          <w:sz w:val="28"/>
          <w:szCs w:val="28"/>
        </w:rPr>
        <w:t>K</w:t>
      </w:r>
      <w:r w:rsidRPr="00D538E4">
        <w:rPr>
          <w:sz w:val="28"/>
          <w:szCs w:val="28"/>
        </w:rPr>
        <w:t xml:space="preserve">it </w:t>
      </w:r>
      <w:r w:rsidR="00F738B7">
        <w:rPr>
          <w:sz w:val="28"/>
          <w:szCs w:val="28"/>
        </w:rPr>
        <w:t>D</w:t>
      </w:r>
      <w:r w:rsidRPr="00D538E4">
        <w:rPr>
          <w:sz w:val="28"/>
          <w:szCs w:val="28"/>
        </w:rPr>
        <w:t xml:space="preserve">igital, de nuevo, acudiendo al análisis realizado por el Banco de España. En este caso, el informe anual del año pasado, del 2025, el Banco de España realiza un análisis econométrico para ver el impacto del uso efectivo del </w:t>
      </w:r>
      <w:r w:rsidR="00F738B7">
        <w:rPr>
          <w:sz w:val="28"/>
          <w:szCs w:val="28"/>
        </w:rPr>
        <w:t>K</w:t>
      </w:r>
      <w:r w:rsidRPr="00D538E4">
        <w:rPr>
          <w:sz w:val="28"/>
          <w:szCs w:val="28"/>
        </w:rPr>
        <w:t xml:space="preserve">it </w:t>
      </w:r>
      <w:r w:rsidR="00F738B7">
        <w:rPr>
          <w:sz w:val="28"/>
          <w:szCs w:val="28"/>
        </w:rPr>
        <w:t>D</w:t>
      </w:r>
      <w:r w:rsidRPr="00D538E4">
        <w:rPr>
          <w:sz w:val="28"/>
          <w:szCs w:val="28"/>
        </w:rPr>
        <w:t>igital.</w:t>
      </w:r>
    </w:p>
    <w:p w14:paraId="1B6E2695" w14:textId="0DDA2474" w:rsidR="00D538E4" w:rsidRPr="00D538E4" w:rsidRDefault="00D538E4" w:rsidP="00D538E4">
      <w:pPr>
        <w:rPr>
          <w:sz w:val="28"/>
          <w:szCs w:val="28"/>
        </w:rPr>
      </w:pPr>
      <w:r w:rsidRPr="00D538E4">
        <w:rPr>
          <w:sz w:val="28"/>
          <w:szCs w:val="28"/>
        </w:rPr>
        <w:t xml:space="preserve">De hecho, cogen dos grupos de empresas, habiendo tenido estos dos grupos una concesión de la ayuda del </w:t>
      </w:r>
      <w:r w:rsidR="00F738B7">
        <w:rPr>
          <w:sz w:val="28"/>
          <w:szCs w:val="28"/>
        </w:rPr>
        <w:t>K</w:t>
      </w:r>
      <w:r w:rsidRPr="00D538E4">
        <w:rPr>
          <w:sz w:val="28"/>
          <w:szCs w:val="28"/>
        </w:rPr>
        <w:t xml:space="preserve">it </w:t>
      </w:r>
      <w:r w:rsidR="00F738B7">
        <w:rPr>
          <w:sz w:val="28"/>
          <w:szCs w:val="28"/>
        </w:rPr>
        <w:t>D</w:t>
      </w:r>
      <w:r w:rsidRPr="00D538E4">
        <w:rPr>
          <w:sz w:val="28"/>
          <w:szCs w:val="28"/>
        </w:rPr>
        <w:t xml:space="preserve">igital, uno de ellos utilizando esa ayuda y el otro grupo donde se caducó el bono sin llegar a utilizarlo. Por lo tanto, se puede observar, comparando el comportamiento de estos dos grupos, si hay algún efecto significativo positivo en la utilización de esas ayudas del </w:t>
      </w:r>
      <w:r w:rsidR="00F738B7">
        <w:rPr>
          <w:sz w:val="28"/>
          <w:szCs w:val="28"/>
        </w:rPr>
        <w:t>K</w:t>
      </w:r>
      <w:r w:rsidRPr="00D538E4">
        <w:rPr>
          <w:sz w:val="28"/>
          <w:szCs w:val="28"/>
        </w:rPr>
        <w:t xml:space="preserve">it </w:t>
      </w:r>
      <w:r w:rsidR="00F738B7">
        <w:rPr>
          <w:sz w:val="28"/>
          <w:szCs w:val="28"/>
        </w:rPr>
        <w:t>D</w:t>
      </w:r>
      <w:r w:rsidRPr="00D538E4">
        <w:rPr>
          <w:sz w:val="28"/>
          <w:szCs w:val="28"/>
        </w:rPr>
        <w:t xml:space="preserve">igital. Y lo que podemos observar en este gráfico es que efectivamente la utilización del </w:t>
      </w:r>
      <w:r w:rsidR="00F738B7">
        <w:rPr>
          <w:sz w:val="28"/>
          <w:szCs w:val="28"/>
        </w:rPr>
        <w:t>K</w:t>
      </w:r>
      <w:r w:rsidRPr="00D538E4">
        <w:rPr>
          <w:sz w:val="28"/>
          <w:szCs w:val="28"/>
        </w:rPr>
        <w:t xml:space="preserve">it </w:t>
      </w:r>
      <w:r w:rsidR="00F738B7">
        <w:rPr>
          <w:sz w:val="28"/>
          <w:szCs w:val="28"/>
        </w:rPr>
        <w:t>D</w:t>
      </w:r>
      <w:r w:rsidRPr="00D538E4">
        <w:rPr>
          <w:sz w:val="28"/>
          <w:szCs w:val="28"/>
        </w:rPr>
        <w:t xml:space="preserve">igital, del subsidio, se asocia con un incremento de la productividad, de la PTF en este caso, la productividad total de los factores, de aproximadamente un 1,2% en el año justo posterior, como podemos ver en la última columna de este gráfico, tras la concesión del bono del </w:t>
      </w:r>
      <w:r w:rsidR="00F738B7">
        <w:rPr>
          <w:sz w:val="28"/>
          <w:szCs w:val="28"/>
        </w:rPr>
        <w:t>K</w:t>
      </w:r>
      <w:r w:rsidRPr="00D538E4">
        <w:rPr>
          <w:sz w:val="28"/>
          <w:szCs w:val="28"/>
        </w:rPr>
        <w:t xml:space="preserve">it </w:t>
      </w:r>
      <w:r w:rsidR="00F738B7">
        <w:rPr>
          <w:sz w:val="28"/>
          <w:szCs w:val="28"/>
        </w:rPr>
        <w:t>D</w:t>
      </w:r>
      <w:r w:rsidRPr="00D538E4">
        <w:rPr>
          <w:sz w:val="28"/>
          <w:szCs w:val="28"/>
        </w:rPr>
        <w:t>igital.</w:t>
      </w:r>
    </w:p>
    <w:p w14:paraId="1E3F2746" w14:textId="77777777" w:rsidR="00F738B7" w:rsidRDefault="00D538E4" w:rsidP="00D538E4">
      <w:pPr>
        <w:rPr>
          <w:sz w:val="28"/>
          <w:szCs w:val="28"/>
        </w:rPr>
      </w:pPr>
      <w:r w:rsidRPr="00D538E4">
        <w:rPr>
          <w:sz w:val="28"/>
          <w:szCs w:val="28"/>
        </w:rPr>
        <w:t xml:space="preserve">En este caso, la medida de apoyo en promedio ascendía a unos 5.000 euros, lo que implica que este </w:t>
      </w:r>
      <w:r w:rsidR="00F738B7">
        <w:rPr>
          <w:sz w:val="28"/>
          <w:szCs w:val="28"/>
        </w:rPr>
        <w:t>K</w:t>
      </w:r>
      <w:r w:rsidRPr="00D538E4">
        <w:rPr>
          <w:sz w:val="28"/>
          <w:szCs w:val="28"/>
        </w:rPr>
        <w:t xml:space="preserve">it </w:t>
      </w:r>
      <w:r w:rsidR="00F738B7">
        <w:rPr>
          <w:sz w:val="28"/>
          <w:szCs w:val="28"/>
        </w:rPr>
        <w:t>D</w:t>
      </w:r>
      <w:r w:rsidRPr="00D538E4">
        <w:rPr>
          <w:sz w:val="28"/>
          <w:szCs w:val="28"/>
        </w:rPr>
        <w:t xml:space="preserve">igital, por cada 1.000 euros concedidos, ha sido capaz de elevar la PTF en torno a 0,25 puntos porcentuales. Para que nos hagamos una idea también de un contexto de cifras, la PTF de estas empresas creció un total de un 2% en ese año, con lo cual el impacto de </w:t>
      </w:r>
      <w:r w:rsidRPr="00D538E4">
        <w:rPr>
          <w:sz w:val="28"/>
          <w:szCs w:val="28"/>
        </w:rPr>
        <w:lastRenderedPageBreak/>
        <w:t xml:space="preserve">este programa es de nuevo muy significativo y además estructural cuando hablamos en términos de productividad. </w:t>
      </w:r>
    </w:p>
    <w:p w14:paraId="5FAEBBD3" w14:textId="77777777" w:rsidR="00F738B7" w:rsidRDefault="00F738B7" w:rsidP="00D538E4">
      <w:pPr>
        <w:rPr>
          <w:sz w:val="28"/>
          <w:szCs w:val="28"/>
        </w:rPr>
      </w:pPr>
    </w:p>
    <w:p w14:paraId="6BCAE231" w14:textId="77D273BB" w:rsidR="00D538E4" w:rsidRPr="00D538E4" w:rsidRDefault="00D538E4" w:rsidP="00D538E4">
      <w:pPr>
        <w:rPr>
          <w:sz w:val="28"/>
          <w:szCs w:val="28"/>
        </w:rPr>
      </w:pPr>
      <w:r w:rsidRPr="00D538E4">
        <w:rPr>
          <w:sz w:val="28"/>
          <w:szCs w:val="28"/>
        </w:rPr>
        <w:t>Otro elemento también particularmente importante, que se refleja en el mismo informe del Banco de España, es la asociación entre el aumento en la productividad y su asociación al aumento, en este caso, en la inversión en activos intangibles.</w:t>
      </w:r>
    </w:p>
    <w:p w14:paraId="3E19E79D" w14:textId="77777777" w:rsidR="00F738B7" w:rsidRDefault="00D538E4" w:rsidP="00D538E4">
      <w:pPr>
        <w:rPr>
          <w:sz w:val="28"/>
          <w:szCs w:val="28"/>
        </w:rPr>
      </w:pPr>
      <w:r w:rsidRPr="00D538E4">
        <w:rPr>
          <w:sz w:val="28"/>
          <w:szCs w:val="28"/>
        </w:rPr>
        <w:t xml:space="preserve">Por lo tanto, dando cuenta de una cierta transformación de los procesos productivos ligado a la digitalización, por supuesto, de los procesos internos, pero también a otros elementos como mayor eficiencia en la gestión de inventarios o mayor utilización de la facturación electrónica. </w:t>
      </w:r>
    </w:p>
    <w:p w14:paraId="61545741" w14:textId="4D688743" w:rsidR="00D538E4" w:rsidRPr="00D538E4" w:rsidRDefault="00D538E4" w:rsidP="00D538E4">
      <w:pPr>
        <w:rPr>
          <w:sz w:val="28"/>
          <w:szCs w:val="28"/>
        </w:rPr>
      </w:pPr>
      <w:r w:rsidRPr="00D538E4">
        <w:rPr>
          <w:sz w:val="28"/>
          <w:szCs w:val="28"/>
        </w:rPr>
        <w:t>Aquí lo que vemos es el efecto combinado del programa en los activos de las empresas y vemos que las empresas que utilizaron el bono aumentan en más de un 1,25% la proporción de activos intangibles sobre el total de sus activos. De nuevo, un efecto diferencial positivo en cuanto no solo a la productividad, sino también a la inversión en activos intangibles, cuyo mayor efecto, como sabemos, se acaba viendo, se acaba trasladando en el medio-largo plazo de manera progresiva.</w:t>
      </w:r>
    </w:p>
    <w:p w14:paraId="15508709" w14:textId="77777777" w:rsidR="00F738B7" w:rsidRDefault="00D538E4" w:rsidP="00D538E4">
      <w:pPr>
        <w:rPr>
          <w:sz w:val="28"/>
          <w:szCs w:val="28"/>
        </w:rPr>
      </w:pPr>
      <w:r w:rsidRPr="00D538E4">
        <w:rPr>
          <w:sz w:val="28"/>
          <w:szCs w:val="28"/>
        </w:rPr>
        <w:t xml:space="preserve">Por lo tanto, a medida que el horizonte temporal, en este caso, se amplía, los beneficios asociados a la digitalización son cada vez mayores a través de innovación de procesos, productos, escalado, complementariedades, señalando además, como he dicho, que es de esperar que estos efectos crezcan conforme se desplieguen de manera total. </w:t>
      </w:r>
    </w:p>
    <w:p w14:paraId="720733FC" w14:textId="77777777" w:rsidR="00F738B7" w:rsidRDefault="00F738B7" w:rsidP="00D538E4">
      <w:pPr>
        <w:rPr>
          <w:sz w:val="28"/>
          <w:szCs w:val="28"/>
        </w:rPr>
      </w:pPr>
    </w:p>
    <w:p w14:paraId="7BA4305A" w14:textId="6D629D0D" w:rsidR="00D538E4" w:rsidRPr="00D538E4" w:rsidRDefault="00D538E4" w:rsidP="00D538E4">
      <w:pPr>
        <w:rPr>
          <w:sz w:val="28"/>
          <w:szCs w:val="28"/>
        </w:rPr>
      </w:pPr>
      <w:r w:rsidRPr="00D538E4">
        <w:rPr>
          <w:sz w:val="28"/>
          <w:szCs w:val="28"/>
        </w:rPr>
        <w:t xml:space="preserve">Seguimos con el impacto o los efectos del </w:t>
      </w:r>
      <w:r w:rsidR="00F738B7">
        <w:rPr>
          <w:sz w:val="28"/>
          <w:szCs w:val="28"/>
        </w:rPr>
        <w:t>P</w:t>
      </w:r>
      <w:r w:rsidRPr="00D538E4">
        <w:rPr>
          <w:sz w:val="28"/>
          <w:szCs w:val="28"/>
        </w:rPr>
        <w:t xml:space="preserve">lan de </w:t>
      </w:r>
      <w:r w:rsidR="00F738B7">
        <w:rPr>
          <w:sz w:val="28"/>
          <w:szCs w:val="28"/>
        </w:rPr>
        <w:t>R</w:t>
      </w:r>
      <w:r w:rsidRPr="00D538E4">
        <w:rPr>
          <w:sz w:val="28"/>
          <w:szCs w:val="28"/>
        </w:rPr>
        <w:t>ecuperación y de las medidas tanto en materia de inversión como de reformas asociadas al mismo. Y en esta diapositiva podemos ver un recopilatorio o un resumen del impacto en términos de productividad, atendiendo al análisis que realizaba también Funcas y el Banco de España.</w:t>
      </w:r>
    </w:p>
    <w:p w14:paraId="64DFE16F" w14:textId="77777777" w:rsidR="00D538E4" w:rsidRPr="00D538E4" w:rsidRDefault="00D538E4" w:rsidP="00D538E4">
      <w:pPr>
        <w:rPr>
          <w:sz w:val="28"/>
          <w:szCs w:val="28"/>
        </w:rPr>
      </w:pPr>
      <w:r w:rsidRPr="00D538E4">
        <w:rPr>
          <w:sz w:val="28"/>
          <w:szCs w:val="28"/>
        </w:rPr>
        <w:t xml:space="preserve">Aquí lo que observamos en el gráfico de la izquierda, si nos centramos en él, es la evolución de la productividad por hora, este es el eje vertical, y el crecimiento del PIB, este es el eje horizontal, para distintos periodos. Tenemos en este caso el periodo 96-2008, es este punto gris, donde el crecimiento del PIB en volumen anualizado está entre el 3,5 y el 4%, si no </w:t>
      </w:r>
      <w:r w:rsidRPr="00D538E4">
        <w:rPr>
          <w:sz w:val="28"/>
          <w:szCs w:val="28"/>
        </w:rPr>
        <w:lastRenderedPageBreak/>
        <w:t>recuerdo mal. Tenemos el periodo 2014-19, tenemos el periodo 21-25, tenemos el outlier del año 2020 con la caída por encima del 10% del PIB y tenemos también la crisis financiera, el 2009-2013, en ese punto negro.</w:t>
      </w:r>
    </w:p>
    <w:p w14:paraId="681E85DD" w14:textId="77777777" w:rsidR="00F738B7" w:rsidRDefault="00D538E4" w:rsidP="00D538E4">
      <w:pPr>
        <w:rPr>
          <w:sz w:val="28"/>
          <w:szCs w:val="28"/>
        </w:rPr>
      </w:pPr>
      <w:r w:rsidRPr="00D538E4">
        <w:rPr>
          <w:sz w:val="28"/>
          <w:szCs w:val="28"/>
        </w:rPr>
        <w:t>Lo que podemos ver en este caso, cuando miramos periodos de crecimiento positivo comparable o similar, como son estos tres periodos, 96-2008, 14-19 y 21-25, c</w:t>
      </w:r>
      <w:r w:rsidR="00F738B7">
        <w:rPr>
          <w:sz w:val="28"/>
          <w:szCs w:val="28"/>
        </w:rPr>
        <w:t>ó</w:t>
      </w:r>
      <w:r w:rsidRPr="00D538E4">
        <w:rPr>
          <w:sz w:val="28"/>
          <w:szCs w:val="28"/>
        </w:rPr>
        <w:t xml:space="preserve">mo no solo el periodo 21-25 supera a los otros periodos en materia de crecimiento, sino también en materia de productividad por hora. Por lo tanto, cerrando ese círculo y haciendo compatible uno de los principales retos que teníamos en la economía española, que son periodos de intensa creación de empleo con periodos también de mejora en la productividad por hora. </w:t>
      </w:r>
    </w:p>
    <w:p w14:paraId="2B2D3F75" w14:textId="77777777" w:rsidR="00F738B7" w:rsidRDefault="00F738B7" w:rsidP="00D538E4">
      <w:pPr>
        <w:rPr>
          <w:sz w:val="28"/>
          <w:szCs w:val="28"/>
        </w:rPr>
      </w:pPr>
    </w:p>
    <w:p w14:paraId="44D6285E" w14:textId="77777777" w:rsidR="00F738B7" w:rsidRDefault="00D538E4" w:rsidP="00D538E4">
      <w:pPr>
        <w:rPr>
          <w:sz w:val="28"/>
          <w:szCs w:val="28"/>
        </w:rPr>
      </w:pPr>
      <w:r w:rsidRPr="00D538E4">
        <w:rPr>
          <w:sz w:val="28"/>
          <w:szCs w:val="28"/>
        </w:rPr>
        <w:t>Esta mejora en la productividad tiene una traslación también a través de este crecimiento y de la mejora existente en el mercado laboral a una mejora en la renta real disponible de los hogares en términos per cápita.</w:t>
      </w:r>
      <w:r w:rsidR="00F738B7">
        <w:rPr>
          <w:sz w:val="28"/>
          <w:szCs w:val="28"/>
        </w:rPr>
        <w:t xml:space="preserve"> </w:t>
      </w:r>
      <w:r w:rsidRPr="00D538E4">
        <w:rPr>
          <w:sz w:val="28"/>
          <w:szCs w:val="28"/>
        </w:rPr>
        <w:t xml:space="preserve">Estos son datos comparables de Fuente OCDE, donde miramos para los hogares la evolución de su renta disponible en términos reales, es decir, teniendo en cuenta la inflación, y también en términos per cápita, es decir, teniendo en cuenta la evolución de la población, y donde vemos que España ha evolucionado por encima, en este caso cogemos todo el periodo desde el 2018, incluyendo el impacto de la COVID, ha evolucionado por encima de nuestros principales socios y en línea con las siete principales economías, es decir, con el G7. </w:t>
      </w:r>
    </w:p>
    <w:p w14:paraId="2D1B203A" w14:textId="77777777" w:rsidR="00302290" w:rsidRDefault="00D538E4" w:rsidP="00D538E4">
      <w:pPr>
        <w:rPr>
          <w:sz w:val="28"/>
          <w:szCs w:val="28"/>
        </w:rPr>
      </w:pPr>
      <w:r w:rsidRPr="00D538E4">
        <w:rPr>
          <w:sz w:val="28"/>
          <w:szCs w:val="28"/>
        </w:rPr>
        <w:t>Y asociado, por supuesto, también a esta evolución, tanto de la situación en el mercado laboral como de la renta de los hogares, conviene señalar la evolución de los indicadores de desigualdad en el periodo 2019-2025, donde España ha sido, por ejemplo, el tercer país de la zona euro</w:t>
      </w:r>
      <w:r w:rsidR="00302290">
        <w:rPr>
          <w:sz w:val="28"/>
          <w:szCs w:val="28"/>
        </w:rPr>
        <w:t xml:space="preserve"> </w:t>
      </w:r>
      <w:r w:rsidRPr="00D538E4">
        <w:rPr>
          <w:sz w:val="28"/>
          <w:szCs w:val="28"/>
        </w:rPr>
        <w:t xml:space="preserve">donde más ha caído el índice de riesgo de pobreza, entre otros. </w:t>
      </w:r>
    </w:p>
    <w:p w14:paraId="3115D1EE" w14:textId="7DFEA55F" w:rsidR="00D538E4" w:rsidRPr="00D538E4" w:rsidRDefault="00D538E4" w:rsidP="00D538E4">
      <w:pPr>
        <w:rPr>
          <w:sz w:val="28"/>
          <w:szCs w:val="28"/>
        </w:rPr>
      </w:pPr>
      <w:r w:rsidRPr="00D538E4">
        <w:rPr>
          <w:sz w:val="28"/>
          <w:szCs w:val="28"/>
        </w:rPr>
        <w:t>Es una situación donde es conveniente señalar, y quiero, por supuesto, hacer esa precisión, que pese a que la evolución es positiva, la desigualdad se ha ido reduciendo de manera significativa los niveles donde está la desigualdad, donde está, por ejemplo, todavía nuestra tasa de paro, incluyendo nuestra tasa de paro juvenil, todavía están por encima de lo que creemos que puede conseguirse, ampliando y profundizando la hoja de ruta que llevamos, que está consiguiendo mejoras estructurales o de largo plazo en estos indicadores.</w:t>
      </w:r>
    </w:p>
    <w:p w14:paraId="5221E09E" w14:textId="77777777" w:rsidR="00302290" w:rsidRDefault="00D538E4" w:rsidP="00D538E4">
      <w:pPr>
        <w:rPr>
          <w:sz w:val="28"/>
          <w:szCs w:val="28"/>
        </w:rPr>
      </w:pPr>
      <w:r w:rsidRPr="00D538E4">
        <w:rPr>
          <w:sz w:val="28"/>
          <w:szCs w:val="28"/>
        </w:rPr>
        <w:lastRenderedPageBreak/>
        <w:t xml:space="preserve">Bien, pasando ahora a la hoja de ruta y a la finalización, a esta fase final del </w:t>
      </w:r>
      <w:r w:rsidR="00302290">
        <w:rPr>
          <w:sz w:val="28"/>
          <w:szCs w:val="28"/>
        </w:rPr>
        <w:t>P</w:t>
      </w:r>
      <w:r w:rsidRPr="00D538E4">
        <w:rPr>
          <w:sz w:val="28"/>
          <w:szCs w:val="28"/>
        </w:rPr>
        <w:t xml:space="preserve">lan de </w:t>
      </w:r>
      <w:r w:rsidR="00302290">
        <w:rPr>
          <w:sz w:val="28"/>
          <w:szCs w:val="28"/>
        </w:rPr>
        <w:t>R</w:t>
      </w:r>
      <w:r w:rsidRPr="00D538E4">
        <w:rPr>
          <w:sz w:val="28"/>
          <w:szCs w:val="28"/>
        </w:rPr>
        <w:t xml:space="preserve">ecuperación, donde, como ya saben, estamos en los últimos compases, permítanme que haga un apartado especial con respecto a los siguientes pasos. </w:t>
      </w:r>
    </w:p>
    <w:p w14:paraId="2D237100" w14:textId="2FA86CA0" w:rsidR="00D538E4" w:rsidRPr="00D538E4" w:rsidRDefault="00D538E4" w:rsidP="00D538E4">
      <w:pPr>
        <w:rPr>
          <w:sz w:val="28"/>
          <w:szCs w:val="28"/>
        </w:rPr>
      </w:pPr>
      <w:r w:rsidRPr="00D538E4">
        <w:rPr>
          <w:sz w:val="28"/>
          <w:szCs w:val="28"/>
        </w:rPr>
        <w:t xml:space="preserve">Como he dicho anteriormente, pero repito, el pasado 2 de julio, hace escasamente unos días, la Comisión adoptó una valoración preliminar positiva con respecto a nuestra sexta solicitud de desembolso. Estamos ahora mismo, además, trabajando de manera estrecha con la Comisión para una adenda técnica de cierre del </w:t>
      </w:r>
      <w:r w:rsidR="00302290">
        <w:rPr>
          <w:sz w:val="28"/>
          <w:szCs w:val="28"/>
        </w:rPr>
        <w:t>P</w:t>
      </w:r>
      <w:r w:rsidRPr="00D538E4">
        <w:rPr>
          <w:sz w:val="28"/>
          <w:szCs w:val="28"/>
        </w:rPr>
        <w:t xml:space="preserve">lan de </w:t>
      </w:r>
      <w:r w:rsidR="00302290">
        <w:rPr>
          <w:sz w:val="28"/>
          <w:szCs w:val="28"/>
        </w:rPr>
        <w:t>R</w:t>
      </w:r>
      <w:r w:rsidRPr="00D538E4">
        <w:rPr>
          <w:sz w:val="28"/>
          <w:szCs w:val="28"/>
        </w:rPr>
        <w:t>ecuperación para terminar de reconciliar, en este caso, los hitos que nos quedan con toda la evidencia acreditativa disponible para el cumplimiento de estos hitos, que permita simplificar, agilizar la labor de verificación de los hitos, entre otras cosas, sobre la base de la experiencia que ya se ha ido adquiriendo a lo largo de estos últimos años, igual que hicimos también con la adenda técnica de simplificación de finales del año pasado.</w:t>
      </w:r>
    </w:p>
    <w:p w14:paraId="6A95424D" w14:textId="77777777" w:rsidR="00302290" w:rsidRDefault="00D538E4" w:rsidP="00D538E4">
      <w:pPr>
        <w:rPr>
          <w:sz w:val="28"/>
          <w:szCs w:val="28"/>
        </w:rPr>
      </w:pPr>
      <w:r w:rsidRPr="00D538E4">
        <w:rPr>
          <w:sz w:val="28"/>
          <w:szCs w:val="28"/>
        </w:rPr>
        <w:t xml:space="preserve">Estamos trabajando, no sólo a nivel de la Administración General del Estado, también hay que señalarlo a nivel de las comunidades autónomas y de las corporaciones locales para completar con éxito los hitos, la certificación de los hitos y todos los objetivos pendientes antes de esa fecha de corte, ese 31 de agosto, como bien saben, que es lo previsto y lo exigido por la regulación del </w:t>
      </w:r>
      <w:r w:rsidR="00302290">
        <w:rPr>
          <w:sz w:val="28"/>
          <w:szCs w:val="28"/>
        </w:rPr>
        <w:t>M</w:t>
      </w:r>
      <w:r w:rsidRPr="00D538E4">
        <w:rPr>
          <w:sz w:val="28"/>
          <w:szCs w:val="28"/>
        </w:rPr>
        <w:t xml:space="preserve">ecanismo de </w:t>
      </w:r>
      <w:r w:rsidR="00302290">
        <w:rPr>
          <w:sz w:val="28"/>
          <w:szCs w:val="28"/>
        </w:rPr>
        <w:t>R</w:t>
      </w:r>
      <w:r w:rsidRPr="00D538E4">
        <w:rPr>
          <w:sz w:val="28"/>
          <w:szCs w:val="28"/>
        </w:rPr>
        <w:t xml:space="preserve">ecuperación </w:t>
      </w:r>
      <w:r w:rsidR="00302290">
        <w:rPr>
          <w:sz w:val="28"/>
          <w:szCs w:val="28"/>
        </w:rPr>
        <w:t>E</w:t>
      </w:r>
      <w:r w:rsidRPr="00D538E4">
        <w:rPr>
          <w:sz w:val="28"/>
          <w:szCs w:val="28"/>
        </w:rPr>
        <w:t xml:space="preserve">uropeo. </w:t>
      </w:r>
    </w:p>
    <w:p w14:paraId="35A9AC6D" w14:textId="77777777" w:rsidR="00302290" w:rsidRDefault="00302290" w:rsidP="00D538E4">
      <w:pPr>
        <w:rPr>
          <w:sz w:val="28"/>
          <w:szCs w:val="28"/>
        </w:rPr>
      </w:pPr>
    </w:p>
    <w:p w14:paraId="43B2E929" w14:textId="7B1D7F4D" w:rsidR="00D538E4" w:rsidRPr="00D538E4" w:rsidRDefault="00D538E4" w:rsidP="00D538E4">
      <w:pPr>
        <w:rPr>
          <w:sz w:val="28"/>
          <w:szCs w:val="28"/>
        </w:rPr>
      </w:pPr>
      <w:r w:rsidRPr="00D538E4">
        <w:rPr>
          <w:sz w:val="28"/>
          <w:szCs w:val="28"/>
        </w:rPr>
        <w:t>Permítanme que haga un apartado específico para los detalles del sexto desembolso, puesto que es, yo creo que la principal novedad en su aprobación con respecto a la última comparecencia. Como recordarán, presentamos la solicitud de este sexto desembolso el 3 de marzo, el pasado 3 de marzo, ante la Comisión Europea.</w:t>
      </w:r>
    </w:p>
    <w:p w14:paraId="56F258AB" w14:textId="0ACA2CB3" w:rsidR="00302290" w:rsidRDefault="00D538E4" w:rsidP="00D538E4">
      <w:pPr>
        <w:rPr>
          <w:sz w:val="28"/>
          <w:szCs w:val="28"/>
        </w:rPr>
      </w:pPr>
      <w:r w:rsidRPr="00D538E4">
        <w:rPr>
          <w:sz w:val="28"/>
          <w:szCs w:val="28"/>
        </w:rPr>
        <w:t>Esta solicitud tiene un tramo de subvenciones y otro de préstamos por un importe total de 7.021 millones de euros. Esta valoración positiva por parte de la Comisión Europea supone un pago de 5.970 millones en transferencias adicionales y 1.051 millones de euros en préstamos adicionales. El importe de las transferencias, en este caso, incluye 302 millones correspondientes a dos hitos que habían quedado parcialmente suspendidos en el quinto desembolso.</w:t>
      </w:r>
      <w:r w:rsidR="00302290">
        <w:rPr>
          <w:sz w:val="28"/>
          <w:szCs w:val="28"/>
        </w:rPr>
        <w:t xml:space="preserve"> </w:t>
      </w:r>
      <w:r w:rsidRPr="00D538E4">
        <w:rPr>
          <w:sz w:val="28"/>
          <w:szCs w:val="28"/>
        </w:rPr>
        <w:t xml:space="preserve">La Comisión </w:t>
      </w:r>
      <w:r w:rsidR="00302290">
        <w:rPr>
          <w:sz w:val="28"/>
          <w:szCs w:val="28"/>
        </w:rPr>
        <w:t>l</w:t>
      </w:r>
      <w:r w:rsidRPr="00D538E4">
        <w:rPr>
          <w:sz w:val="28"/>
          <w:szCs w:val="28"/>
        </w:rPr>
        <w:t>os ha re</w:t>
      </w:r>
      <w:r w:rsidR="00CF2D2A">
        <w:rPr>
          <w:sz w:val="28"/>
          <w:szCs w:val="28"/>
        </w:rPr>
        <w:t>e</w:t>
      </w:r>
      <w:r w:rsidRPr="00D538E4">
        <w:rPr>
          <w:sz w:val="28"/>
          <w:szCs w:val="28"/>
        </w:rPr>
        <w:t xml:space="preserve">valuado y ha dado lugar al desembolso de 25 millones adicionales por el cumplimiento total de uno de ellos, el hito 167, de digitalización de entidades regionales y locales, y 277 millones de </w:t>
      </w:r>
      <w:r w:rsidRPr="00D538E4">
        <w:rPr>
          <w:sz w:val="28"/>
          <w:szCs w:val="28"/>
        </w:rPr>
        <w:lastRenderedPageBreak/>
        <w:t xml:space="preserve">euros por un mayor grado de cumplimiento del hito 388, que es el de reforma fiscal. </w:t>
      </w:r>
    </w:p>
    <w:p w14:paraId="59A8594B" w14:textId="75444405" w:rsidR="00D538E4" w:rsidRPr="00D538E4" w:rsidRDefault="00D538E4" w:rsidP="00D538E4">
      <w:pPr>
        <w:rPr>
          <w:sz w:val="28"/>
          <w:szCs w:val="28"/>
        </w:rPr>
      </w:pPr>
      <w:r w:rsidRPr="00D538E4">
        <w:rPr>
          <w:sz w:val="28"/>
          <w:szCs w:val="28"/>
        </w:rPr>
        <w:t>Además, es conveniente señalar también que los 5.970 millones de euros en transferencias tienen en cuenta una suspensión temporal de 537 millones de euros que se corresponden con tres hitos del sexto pago, cuyo cumplimiento la Comisión no ha podido todavía valorar, ya que, entre otras cosas, la redacción del CID no permitía valorar la evidencia que sí que teníamos disponible. Estos tres hitos son el 301, de formación profesional bilingüe, el 322, de servicios de teleasistencia, y el 346, de proyectos para colectivos vulnerables, emprendedores o microempresas.</w:t>
      </w:r>
    </w:p>
    <w:p w14:paraId="2CC254AB" w14:textId="77777777" w:rsidR="00302290" w:rsidRDefault="00D538E4" w:rsidP="00D538E4">
      <w:pPr>
        <w:rPr>
          <w:sz w:val="28"/>
          <w:szCs w:val="28"/>
        </w:rPr>
      </w:pPr>
      <w:r w:rsidRPr="00D538E4">
        <w:rPr>
          <w:sz w:val="28"/>
          <w:szCs w:val="28"/>
        </w:rPr>
        <w:t xml:space="preserve">España tiene previsto presentar de forma inminente una adenda a nuestro </w:t>
      </w:r>
      <w:r w:rsidR="00302290">
        <w:rPr>
          <w:sz w:val="28"/>
          <w:szCs w:val="28"/>
        </w:rPr>
        <w:t>P</w:t>
      </w:r>
      <w:r w:rsidRPr="00D538E4">
        <w:rPr>
          <w:sz w:val="28"/>
          <w:szCs w:val="28"/>
        </w:rPr>
        <w:t xml:space="preserve">lan de </w:t>
      </w:r>
      <w:r w:rsidR="00302290">
        <w:rPr>
          <w:sz w:val="28"/>
          <w:szCs w:val="28"/>
        </w:rPr>
        <w:t>R</w:t>
      </w:r>
      <w:r w:rsidRPr="00D538E4">
        <w:rPr>
          <w:sz w:val="28"/>
          <w:szCs w:val="28"/>
        </w:rPr>
        <w:t xml:space="preserve">ecuperación, con el objetivo de ajustar la redacción de estos hitos para que la Comisión pueda hacer una valoración también acorde a toda la documentación que ya está disponible y evaluarlos en el marco de la siguiente solicitud, de la séptima y última solicitud de desembolso, siempre acordando esas modificaciones con la propia Comisión para que, igual que en ocasiones anteriores, estas modificaciones de carácter técnico no supongan ninguna disminución en el grado de ambición de la consecución de los hitos y objetivos del </w:t>
      </w:r>
      <w:r w:rsidR="00302290">
        <w:rPr>
          <w:sz w:val="28"/>
          <w:szCs w:val="28"/>
        </w:rPr>
        <w:t>P</w:t>
      </w:r>
      <w:r w:rsidRPr="00D538E4">
        <w:rPr>
          <w:sz w:val="28"/>
          <w:szCs w:val="28"/>
        </w:rPr>
        <w:t xml:space="preserve">lan de </w:t>
      </w:r>
      <w:r w:rsidR="00302290">
        <w:rPr>
          <w:sz w:val="28"/>
          <w:szCs w:val="28"/>
        </w:rPr>
        <w:t>R</w:t>
      </w:r>
      <w:r w:rsidRPr="00D538E4">
        <w:rPr>
          <w:sz w:val="28"/>
          <w:szCs w:val="28"/>
        </w:rPr>
        <w:t xml:space="preserve">ecuperación. </w:t>
      </w:r>
    </w:p>
    <w:p w14:paraId="3B57FC4A" w14:textId="77777777" w:rsidR="00302290" w:rsidRDefault="00D538E4" w:rsidP="00D538E4">
      <w:pPr>
        <w:rPr>
          <w:sz w:val="28"/>
          <w:szCs w:val="28"/>
        </w:rPr>
      </w:pPr>
      <w:r w:rsidRPr="00D538E4">
        <w:rPr>
          <w:sz w:val="28"/>
          <w:szCs w:val="28"/>
        </w:rPr>
        <w:t xml:space="preserve">Por lo tanto, con la sexta solicitud de desembolso, España refuerza el liderazgo, como he dicho anteriormente, ya que habríamos solicitado y recibido, una vez que lo recibamos en las próximas semanas, el 76% del total de los fondos disponibles para nuestro país en materia de transferencias y préstamos. </w:t>
      </w:r>
    </w:p>
    <w:p w14:paraId="2A766C16" w14:textId="68B49CB6" w:rsidR="00D538E4" w:rsidRPr="00D538E4" w:rsidRDefault="00D538E4" w:rsidP="00D538E4">
      <w:pPr>
        <w:rPr>
          <w:sz w:val="28"/>
          <w:szCs w:val="28"/>
        </w:rPr>
      </w:pPr>
      <w:r w:rsidRPr="00D538E4">
        <w:rPr>
          <w:sz w:val="28"/>
          <w:szCs w:val="28"/>
        </w:rPr>
        <w:t>Esta solicitud, y permítame también hacer un apartado destacado, incluye medidas ambiciosas en inversiones, pero también en reformas de ca</w:t>
      </w:r>
      <w:r w:rsidR="00CF2D2A">
        <w:rPr>
          <w:sz w:val="28"/>
          <w:szCs w:val="28"/>
        </w:rPr>
        <w:t>l</w:t>
      </w:r>
      <w:r w:rsidRPr="00D538E4">
        <w:rPr>
          <w:sz w:val="28"/>
          <w:szCs w:val="28"/>
        </w:rPr>
        <w:t>ado.</w:t>
      </w:r>
    </w:p>
    <w:p w14:paraId="69474239" w14:textId="77777777" w:rsidR="00302290" w:rsidRDefault="00D538E4" w:rsidP="00D538E4">
      <w:pPr>
        <w:rPr>
          <w:sz w:val="28"/>
          <w:szCs w:val="28"/>
        </w:rPr>
      </w:pPr>
      <w:r w:rsidRPr="00D538E4">
        <w:rPr>
          <w:sz w:val="28"/>
          <w:szCs w:val="28"/>
        </w:rPr>
        <w:t>Y quisiera destacar algunas de ellas</w:t>
      </w:r>
      <w:r w:rsidR="00302290">
        <w:rPr>
          <w:sz w:val="28"/>
          <w:szCs w:val="28"/>
        </w:rPr>
        <w:t xml:space="preserve">. </w:t>
      </w:r>
    </w:p>
    <w:p w14:paraId="46513D30" w14:textId="77777777" w:rsidR="00302290" w:rsidRDefault="00302290" w:rsidP="00D538E4">
      <w:pPr>
        <w:rPr>
          <w:sz w:val="28"/>
          <w:szCs w:val="28"/>
        </w:rPr>
      </w:pPr>
      <w:r>
        <w:rPr>
          <w:sz w:val="28"/>
          <w:szCs w:val="28"/>
        </w:rPr>
        <w:t>P</w:t>
      </w:r>
      <w:r w:rsidR="00D538E4" w:rsidRPr="00D538E4">
        <w:rPr>
          <w:sz w:val="28"/>
          <w:szCs w:val="28"/>
        </w:rPr>
        <w:t xml:space="preserve">or ejemplo, en materia de movilidad sostenible o descarbonización, avances a través de la adopción de la Ley de Movilidad Sostenible de diciembre del año 2025, que reconoce el transporte como un derecho de la ciudadanía, abordando la necesidad urgente de seguir reduciendo las emisiones contaminantes para proteger el entorno y avanzar en ese marco de movilidad sostenible tal y como estamos consiguiendo en nuestro país. </w:t>
      </w:r>
    </w:p>
    <w:p w14:paraId="1BF34F11" w14:textId="0B7E2EB9" w:rsidR="00302290" w:rsidRDefault="00D538E4" w:rsidP="00D538E4">
      <w:pPr>
        <w:rPr>
          <w:sz w:val="28"/>
          <w:szCs w:val="28"/>
        </w:rPr>
      </w:pPr>
      <w:r w:rsidRPr="00D538E4">
        <w:rPr>
          <w:sz w:val="28"/>
          <w:szCs w:val="28"/>
        </w:rPr>
        <w:t xml:space="preserve">En el ámbito de la vivienda, también reformas importantes, como en este caso la creación de Casa 47, nuestra </w:t>
      </w:r>
      <w:r w:rsidR="00302290">
        <w:rPr>
          <w:sz w:val="28"/>
          <w:szCs w:val="28"/>
        </w:rPr>
        <w:t>E</w:t>
      </w:r>
      <w:r w:rsidRPr="00D538E4">
        <w:rPr>
          <w:sz w:val="28"/>
          <w:szCs w:val="28"/>
        </w:rPr>
        <w:t xml:space="preserve">ntidad </w:t>
      </w:r>
      <w:r w:rsidR="00302290">
        <w:rPr>
          <w:sz w:val="28"/>
          <w:szCs w:val="28"/>
        </w:rPr>
        <w:t>E</w:t>
      </w:r>
      <w:r w:rsidRPr="00D538E4">
        <w:rPr>
          <w:sz w:val="28"/>
          <w:szCs w:val="28"/>
        </w:rPr>
        <w:t xml:space="preserve">statal de </w:t>
      </w:r>
      <w:r w:rsidR="00302290">
        <w:rPr>
          <w:sz w:val="28"/>
          <w:szCs w:val="28"/>
        </w:rPr>
        <w:t>V</w:t>
      </w:r>
      <w:r w:rsidRPr="00D538E4">
        <w:rPr>
          <w:sz w:val="28"/>
          <w:szCs w:val="28"/>
        </w:rPr>
        <w:t xml:space="preserve">ivienda y </w:t>
      </w:r>
      <w:r w:rsidR="00302290">
        <w:rPr>
          <w:sz w:val="28"/>
          <w:szCs w:val="28"/>
        </w:rPr>
        <w:t>S</w:t>
      </w:r>
      <w:r w:rsidRPr="00D538E4">
        <w:rPr>
          <w:sz w:val="28"/>
          <w:szCs w:val="28"/>
        </w:rPr>
        <w:t xml:space="preserve">uelo, </w:t>
      </w:r>
      <w:r w:rsidRPr="00D538E4">
        <w:rPr>
          <w:sz w:val="28"/>
          <w:szCs w:val="28"/>
        </w:rPr>
        <w:lastRenderedPageBreak/>
        <w:t xml:space="preserve">que supone, entre otras cosas, el blindaje del derecho a la vivienda como un pilar del nuevo sistema público de vivienda y garante de ese derecho recogido en el artículo 47 de la Constitución. </w:t>
      </w:r>
    </w:p>
    <w:p w14:paraId="6E8EB86F" w14:textId="77777777" w:rsidR="00302290" w:rsidRDefault="00D538E4" w:rsidP="00D538E4">
      <w:pPr>
        <w:rPr>
          <w:sz w:val="28"/>
          <w:szCs w:val="28"/>
        </w:rPr>
      </w:pPr>
      <w:r w:rsidRPr="00D538E4">
        <w:rPr>
          <w:sz w:val="28"/>
          <w:szCs w:val="28"/>
        </w:rPr>
        <w:t>Refuerzo de la protección social y del sistema de salud con el establecimiento de un modelo, en este caso de corresponsabilidad con la ampliación y retribución de los permisos de nacimiento y cuidado, implementación de medidas para mejorar la estabilidad y condiciones del personal sanitario</w:t>
      </w:r>
      <w:r w:rsidR="00302290">
        <w:rPr>
          <w:sz w:val="28"/>
          <w:szCs w:val="28"/>
        </w:rPr>
        <w:t xml:space="preserve">. </w:t>
      </w:r>
    </w:p>
    <w:p w14:paraId="3FECE663" w14:textId="77777777" w:rsidR="00302290" w:rsidRDefault="00302290" w:rsidP="00D538E4">
      <w:pPr>
        <w:rPr>
          <w:sz w:val="28"/>
          <w:szCs w:val="28"/>
        </w:rPr>
      </w:pPr>
      <w:r>
        <w:rPr>
          <w:sz w:val="28"/>
          <w:szCs w:val="28"/>
        </w:rPr>
        <w:t>D</w:t>
      </w:r>
      <w:r w:rsidR="00D538E4" w:rsidRPr="00D538E4">
        <w:rPr>
          <w:sz w:val="28"/>
          <w:szCs w:val="28"/>
        </w:rPr>
        <w:t>estacar la creación de más de medio centenar de centros de atención, más de 50 centros de atención a víctimas de violencia sexual</w:t>
      </w:r>
      <w:r>
        <w:rPr>
          <w:sz w:val="28"/>
          <w:szCs w:val="28"/>
        </w:rPr>
        <w:t xml:space="preserve">. </w:t>
      </w:r>
    </w:p>
    <w:p w14:paraId="1C1D59AB" w14:textId="7E4F3688" w:rsidR="00D538E4" w:rsidRPr="00D538E4" w:rsidRDefault="00302290" w:rsidP="00D538E4">
      <w:pPr>
        <w:rPr>
          <w:sz w:val="28"/>
          <w:szCs w:val="28"/>
        </w:rPr>
      </w:pPr>
      <w:r>
        <w:rPr>
          <w:sz w:val="28"/>
          <w:szCs w:val="28"/>
        </w:rPr>
        <w:t>A</w:t>
      </w:r>
      <w:r w:rsidR="00D538E4" w:rsidRPr="00D538E4">
        <w:rPr>
          <w:sz w:val="28"/>
          <w:szCs w:val="28"/>
        </w:rPr>
        <w:t>probación del Real Decreto Ley que refuerza la compatibilidad del IMV, del Ingreso Mínimo Vital, con otras prestaciones, eliminando barreras, en este caso, a la empleabilidad de los perceptores y facilitando su incorporación al mercado laboral.</w:t>
      </w:r>
    </w:p>
    <w:p w14:paraId="5CB10A4C" w14:textId="77777777" w:rsidR="00302290" w:rsidRDefault="00D538E4" w:rsidP="00D538E4">
      <w:pPr>
        <w:rPr>
          <w:sz w:val="28"/>
          <w:szCs w:val="28"/>
        </w:rPr>
      </w:pPr>
      <w:r w:rsidRPr="00D538E4">
        <w:rPr>
          <w:sz w:val="28"/>
          <w:szCs w:val="28"/>
        </w:rPr>
        <w:t xml:space="preserve">En el ámbito de la economía circular, también adopción de la Ley de Prevención de Pérdidas y de Desperdicio Alimentario, que es otro de los grandes hitos por parte del Ministerio de Agricultura. </w:t>
      </w:r>
    </w:p>
    <w:p w14:paraId="2D05A826" w14:textId="0EE4DCD4" w:rsidR="00D538E4" w:rsidRPr="00D538E4" w:rsidRDefault="00D538E4" w:rsidP="00D538E4">
      <w:pPr>
        <w:rPr>
          <w:sz w:val="28"/>
          <w:szCs w:val="28"/>
        </w:rPr>
      </w:pPr>
      <w:r w:rsidRPr="00D538E4">
        <w:rPr>
          <w:sz w:val="28"/>
          <w:szCs w:val="28"/>
        </w:rPr>
        <w:t>Uno, además, yo creo que particularmente importante en cuanto al impacto estructural que puede tener nuestra economía, es la puesta en marcha de la nueva Agencia de Evaluación de Políticas Públicas y Calidad de los Servicios, a través de la aprobación de su estatuto, con el objetivo de seguir mejorando a través de la evaluación sistemática de los resultados de las políticas públicas y los programas públicos. Este es un paso significativo en busca de una mayor eficacia y eficiencia en la definición y en la implementación de las políticas públicas, reforzando también otro elemento esencial, como es la transparencia y la rendición de cuentas en esta materia.</w:t>
      </w:r>
    </w:p>
    <w:p w14:paraId="62AC6AFE" w14:textId="77777777" w:rsidR="00302290" w:rsidRDefault="00302290" w:rsidP="00D538E4">
      <w:pPr>
        <w:rPr>
          <w:sz w:val="28"/>
          <w:szCs w:val="28"/>
        </w:rPr>
      </w:pPr>
    </w:p>
    <w:p w14:paraId="22480945" w14:textId="77777777" w:rsidR="00302290" w:rsidRDefault="00D538E4" w:rsidP="00D538E4">
      <w:pPr>
        <w:rPr>
          <w:sz w:val="28"/>
          <w:szCs w:val="28"/>
        </w:rPr>
      </w:pPr>
      <w:r w:rsidRPr="00D538E4">
        <w:rPr>
          <w:sz w:val="28"/>
          <w:szCs w:val="28"/>
        </w:rPr>
        <w:t>Por el lado de las inversiones, por señalar algunas</w:t>
      </w:r>
      <w:r w:rsidR="00302290">
        <w:rPr>
          <w:sz w:val="28"/>
          <w:szCs w:val="28"/>
        </w:rPr>
        <w:t xml:space="preserve">. </w:t>
      </w:r>
    </w:p>
    <w:p w14:paraId="30EA6925" w14:textId="77777777" w:rsidR="00302290" w:rsidRDefault="00302290" w:rsidP="00D538E4">
      <w:pPr>
        <w:rPr>
          <w:sz w:val="28"/>
          <w:szCs w:val="28"/>
        </w:rPr>
      </w:pPr>
      <w:r>
        <w:rPr>
          <w:sz w:val="28"/>
          <w:szCs w:val="28"/>
        </w:rPr>
        <w:t>E</w:t>
      </w:r>
      <w:r w:rsidR="00D538E4" w:rsidRPr="00D538E4">
        <w:rPr>
          <w:sz w:val="28"/>
          <w:szCs w:val="28"/>
        </w:rPr>
        <w:t>n el sector industrial se han invertido, y así lo certifica este sexto desembolso, más de 2.200 millones de euros destinados a la modernización de nuestra industria, canalizados en su mayor medida a través de los PERTE</w:t>
      </w:r>
      <w:r>
        <w:rPr>
          <w:sz w:val="28"/>
          <w:szCs w:val="28"/>
        </w:rPr>
        <w:t>;</w:t>
      </w:r>
      <w:r w:rsidR="00D538E4" w:rsidRPr="00D538E4">
        <w:rPr>
          <w:sz w:val="28"/>
          <w:szCs w:val="28"/>
        </w:rPr>
        <w:t xml:space="preserve"> ámbito de transformación digital, además 5G y ciberseguridad, inversiones superiores a 1.800 millones de euros, incluyendo el impulso a la </w:t>
      </w:r>
      <w:r w:rsidR="00D538E4" w:rsidRPr="00D538E4">
        <w:rPr>
          <w:sz w:val="28"/>
          <w:szCs w:val="28"/>
        </w:rPr>
        <w:lastRenderedPageBreak/>
        <w:t xml:space="preserve">digitalización de la AGE, de la Administración General del Estado, o inversiones críticas en el despliegue de 5G o ciberseguridad, posicionando a España, además en estos ámbitos, a la vanguardia europea. </w:t>
      </w:r>
    </w:p>
    <w:p w14:paraId="77C65B50" w14:textId="77777777" w:rsidR="00302290" w:rsidRDefault="00D538E4" w:rsidP="00D538E4">
      <w:pPr>
        <w:rPr>
          <w:sz w:val="28"/>
          <w:szCs w:val="28"/>
        </w:rPr>
      </w:pPr>
      <w:r w:rsidRPr="00D538E4">
        <w:rPr>
          <w:sz w:val="28"/>
          <w:szCs w:val="28"/>
        </w:rPr>
        <w:t xml:space="preserve">Implementación de soluciones digitales avanzadas, IA, Internet de las Cosas, 5G, Big Data, ciberseguridad, para impulsar, por ejemplo, los destinos turísticos inteligentes, es decir, ahondando, avanzando también en las políticas de diversificación, de aumento de valor añadido de nuestro sector turístico. </w:t>
      </w:r>
    </w:p>
    <w:p w14:paraId="4D108808" w14:textId="02A1716D" w:rsidR="00D538E4" w:rsidRPr="00D538E4" w:rsidRDefault="00D538E4" w:rsidP="00D538E4">
      <w:pPr>
        <w:rPr>
          <w:sz w:val="28"/>
          <w:szCs w:val="28"/>
        </w:rPr>
      </w:pPr>
      <w:r w:rsidRPr="00D538E4">
        <w:rPr>
          <w:sz w:val="28"/>
          <w:szCs w:val="28"/>
        </w:rPr>
        <w:t xml:space="preserve">En el ámbito de la transformación energética, proyectos de inversión de la Fundación Ciudad de la Energía que han permitido adaptar las instalaciones industriales para validar la producción de hidrógeno verde y el almacenamiento de energía en </w:t>
      </w:r>
      <w:r w:rsidR="00302290">
        <w:rPr>
          <w:sz w:val="28"/>
          <w:szCs w:val="28"/>
        </w:rPr>
        <w:t>C</w:t>
      </w:r>
      <w:r w:rsidRPr="00D538E4">
        <w:rPr>
          <w:sz w:val="28"/>
          <w:szCs w:val="28"/>
        </w:rPr>
        <w:t>ubillos del S</w:t>
      </w:r>
      <w:r w:rsidR="00302290">
        <w:rPr>
          <w:sz w:val="28"/>
          <w:szCs w:val="28"/>
        </w:rPr>
        <w:t>il</w:t>
      </w:r>
      <w:r w:rsidRPr="00D538E4">
        <w:rPr>
          <w:sz w:val="28"/>
          <w:szCs w:val="28"/>
        </w:rPr>
        <w:t xml:space="preserve"> en León</w:t>
      </w:r>
      <w:r w:rsidR="00302290">
        <w:rPr>
          <w:sz w:val="28"/>
          <w:szCs w:val="28"/>
        </w:rPr>
        <w:t>. M</w:t>
      </w:r>
      <w:r w:rsidRPr="00D538E4">
        <w:rPr>
          <w:sz w:val="28"/>
          <w:szCs w:val="28"/>
        </w:rPr>
        <w:t>ás de 100 millones de euros para inversiones en accesibilidad, o, si nos vamos a los instrumentos financieros del plan, tienen ahí citados algunos de ellos, en cuanto a las líneas de garantías financieras de CERSA que se incluyen en este desembolso, han movilizado más de 2.100 millones de euros, llegando a un total de casi 4.700 en total.</w:t>
      </w:r>
    </w:p>
    <w:p w14:paraId="51DC02B3" w14:textId="77777777" w:rsidR="00302290" w:rsidRDefault="00D538E4" w:rsidP="00D538E4">
      <w:pPr>
        <w:rPr>
          <w:sz w:val="28"/>
          <w:szCs w:val="28"/>
        </w:rPr>
      </w:pPr>
      <w:r w:rsidRPr="00D538E4">
        <w:rPr>
          <w:sz w:val="28"/>
          <w:szCs w:val="28"/>
        </w:rPr>
        <w:t xml:space="preserve">Este instrumento, además, es una de las herramientas más potentes de apoyo al tejido productivo, con más de 56.400 beneficiarios. Pymes concentran, en este caso, más de 3.000 de esos 4.700 millones de euros que han promovido en cuanto a movilización las garantías financieras de CERSA. </w:t>
      </w:r>
    </w:p>
    <w:p w14:paraId="0E3F66AA" w14:textId="068906F1" w:rsidR="00D538E4" w:rsidRPr="00D538E4" w:rsidRDefault="00D538E4" w:rsidP="00D538E4">
      <w:pPr>
        <w:rPr>
          <w:sz w:val="28"/>
          <w:szCs w:val="28"/>
        </w:rPr>
      </w:pPr>
      <w:r w:rsidRPr="00D538E4">
        <w:rPr>
          <w:sz w:val="28"/>
          <w:szCs w:val="28"/>
        </w:rPr>
        <w:t>El Fondo de Resiliencia Autonómica, el FRA, se han aprobado en su comité de inversiones, en el comité de inversiones de InvestEU, operaciones que agotan la garantía de 500 millones de euros para facilitar inversiones estratégicas.</w:t>
      </w:r>
    </w:p>
    <w:p w14:paraId="2B781327" w14:textId="77777777" w:rsidR="00302290" w:rsidRDefault="00D538E4" w:rsidP="00D538E4">
      <w:pPr>
        <w:rPr>
          <w:sz w:val="28"/>
          <w:szCs w:val="28"/>
        </w:rPr>
      </w:pPr>
      <w:r w:rsidRPr="00D538E4">
        <w:rPr>
          <w:sz w:val="28"/>
          <w:szCs w:val="28"/>
        </w:rPr>
        <w:t xml:space="preserve">Además, la </w:t>
      </w:r>
      <w:r w:rsidR="00302290">
        <w:rPr>
          <w:sz w:val="28"/>
          <w:szCs w:val="28"/>
        </w:rPr>
        <w:t>C</w:t>
      </w:r>
      <w:r w:rsidRPr="00D538E4">
        <w:rPr>
          <w:sz w:val="28"/>
          <w:szCs w:val="28"/>
        </w:rPr>
        <w:t xml:space="preserve">omisión ha valorado positivamente también operaciones por el valor de casi 450 millones de euros del Fondo de Recapitalización de Empresas Afectadas por la COVID-19. </w:t>
      </w:r>
    </w:p>
    <w:p w14:paraId="28DA12B2" w14:textId="77777777" w:rsidR="00302290" w:rsidRDefault="00302290" w:rsidP="00D538E4">
      <w:pPr>
        <w:rPr>
          <w:sz w:val="28"/>
          <w:szCs w:val="28"/>
        </w:rPr>
      </w:pPr>
    </w:p>
    <w:p w14:paraId="31522D5F" w14:textId="388386E0" w:rsidR="00D538E4" w:rsidRPr="00D538E4" w:rsidRDefault="00D538E4" w:rsidP="00D538E4">
      <w:pPr>
        <w:rPr>
          <w:sz w:val="28"/>
          <w:szCs w:val="28"/>
        </w:rPr>
      </w:pPr>
      <w:r w:rsidRPr="00D538E4">
        <w:rPr>
          <w:sz w:val="28"/>
          <w:szCs w:val="28"/>
        </w:rPr>
        <w:t xml:space="preserve">A nivel europeo, y aquí es importante, lo decía o lo señalaba anteriormente, España continúa liderando el despliegue del plan. Vemos en el gráfico de la izquierda las subvenciones desembolsadas con esos casi 7.000 millones adicionales que tendríamos a nuestra disposición una vez se han desembolsado este sexto pago en las próximas semanas, siendo así el </w:t>
      </w:r>
      <w:r w:rsidRPr="00D538E4">
        <w:rPr>
          <w:sz w:val="28"/>
          <w:szCs w:val="28"/>
        </w:rPr>
        <w:lastRenderedPageBreak/>
        <w:t>segundo país que más transferencias habremos recibido, pero solo 400 millones por detrás de Italia, 60.700 frente a 60.300 por parte de España.</w:t>
      </w:r>
    </w:p>
    <w:p w14:paraId="596AF410" w14:textId="77777777" w:rsidR="00302290" w:rsidRDefault="00D538E4" w:rsidP="00D538E4">
      <w:pPr>
        <w:rPr>
          <w:sz w:val="28"/>
          <w:szCs w:val="28"/>
        </w:rPr>
      </w:pPr>
      <w:r w:rsidRPr="00D538E4">
        <w:rPr>
          <w:sz w:val="28"/>
          <w:szCs w:val="28"/>
        </w:rPr>
        <w:t xml:space="preserve">Con el desembolso de este sexto pago, ya habremos recibido el 76% de los fondos no reembolsables y además más de 17.000 millones de euros en préstamos. En el número total de hitos, casi 340 hitos cumplidos y evaluados favorablemente por la </w:t>
      </w:r>
      <w:r w:rsidR="00302290">
        <w:rPr>
          <w:sz w:val="28"/>
          <w:szCs w:val="28"/>
        </w:rPr>
        <w:t>C</w:t>
      </w:r>
      <w:r w:rsidRPr="00D538E4">
        <w:rPr>
          <w:sz w:val="28"/>
          <w:szCs w:val="28"/>
        </w:rPr>
        <w:t xml:space="preserve">omisión, como tenemos en el gráfico de la derecha. </w:t>
      </w:r>
    </w:p>
    <w:p w14:paraId="69C8739B" w14:textId="77777777" w:rsidR="00302290" w:rsidRDefault="00302290" w:rsidP="00D538E4">
      <w:pPr>
        <w:rPr>
          <w:sz w:val="28"/>
          <w:szCs w:val="28"/>
        </w:rPr>
      </w:pPr>
    </w:p>
    <w:p w14:paraId="38A37665" w14:textId="5B8A0AE6" w:rsidR="00D538E4" w:rsidRPr="00D538E4" w:rsidRDefault="00D538E4" w:rsidP="00D538E4">
      <w:pPr>
        <w:rPr>
          <w:sz w:val="28"/>
          <w:szCs w:val="28"/>
        </w:rPr>
      </w:pPr>
      <w:r w:rsidRPr="00D538E4">
        <w:rPr>
          <w:sz w:val="28"/>
          <w:szCs w:val="28"/>
        </w:rPr>
        <w:t xml:space="preserve">En cuanto a la llegada o a la implementación, el avance en la ejecución del </w:t>
      </w:r>
      <w:r w:rsidR="00302290">
        <w:rPr>
          <w:sz w:val="28"/>
          <w:szCs w:val="28"/>
        </w:rPr>
        <w:t>P</w:t>
      </w:r>
      <w:r w:rsidRPr="00D538E4">
        <w:rPr>
          <w:sz w:val="28"/>
          <w:szCs w:val="28"/>
        </w:rPr>
        <w:t xml:space="preserve">lan de </w:t>
      </w:r>
      <w:r w:rsidR="00302290">
        <w:rPr>
          <w:sz w:val="28"/>
          <w:szCs w:val="28"/>
        </w:rPr>
        <w:t>R</w:t>
      </w:r>
      <w:r w:rsidRPr="00D538E4">
        <w:rPr>
          <w:sz w:val="28"/>
          <w:szCs w:val="28"/>
        </w:rPr>
        <w:t>ecuperación, estos son los datos actualizados de nuestra plataforma de ELISA, que si no recuerdo mal, hemos actualizado ayer, con fecha de corte de otro mes más añadido a los datos, en este caso hasta finales de mayo del año 2026.</w:t>
      </w:r>
    </w:p>
    <w:p w14:paraId="1C75C07F" w14:textId="77777777" w:rsidR="00302290" w:rsidRDefault="00D538E4" w:rsidP="00D538E4">
      <w:pPr>
        <w:rPr>
          <w:sz w:val="28"/>
          <w:szCs w:val="28"/>
        </w:rPr>
      </w:pPr>
      <w:r w:rsidRPr="00D538E4">
        <w:rPr>
          <w:sz w:val="28"/>
          <w:szCs w:val="28"/>
        </w:rPr>
        <w:t>Con datos hasta finales de mayo, podemos ver en esta diapositiva cómo se habían convocado fondos por un valor total de más de 95.400 millones de euros, habiéndose resuelto más de 68.500 millones, de hecho 68.534 como tenemos en esta diapositiva</w:t>
      </w:r>
      <w:r w:rsidR="00302290">
        <w:rPr>
          <w:sz w:val="28"/>
          <w:szCs w:val="28"/>
        </w:rPr>
        <w:t>. L</w:t>
      </w:r>
      <w:r w:rsidRPr="00D538E4">
        <w:rPr>
          <w:sz w:val="28"/>
          <w:szCs w:val="28"/>
        </w:rPr>
        <w:t xml:space="preserve">o que supone, con respecto al último dato de finales de abril, más de 1.500 millones adicionales con respecto al último dato de mi última comparecencia, cuando hablábamos de unos 67.000 millones de euros resueltos. </w:t>
      </w:r>
    </w:p>
    <w:p w14:paraId="7201D535" w14:textId="7B879BED" w:rsidR="00D538E4" w:rsidRPr="00D538E4" w:rsidRDefault="00D538E4" w:rsidP="00D538E4">
      <w:pPr>
        <w:rPr>
          <w:sz w:val="28"/>
          <w:szCs w:val="28"/>
        </w:rPr>
      </w:pPr>
      <w:r w:rsidRPr="00D538E4">
        <w:rPr>
          <w:sz w:val="28"/>
          <w:szCs w:val="28"/>
        </w:rPr>
        <w:t>Si miramos, normalmente no hacemos el desglose de los ejes a los que se dirige esta inversión, pero un 25% de estos fondos, de estas concesiones resueltas, han ido dirigidas a la modernización de nuestro tejido industrial, un 12% de ellos a la transición energética, entre otros. Es importante cuando hablamos también de granularidad que recordemos que el 70% de los beneficiarios son microempresas y pymes que han llegado, que alcanzan a haber recibido un total de en torno al 40% del total del volumen de los fondos.</w:t>
      </w:r>
    </w:p>
    <w:p w14:paraId="33C07AC7" w14:textId="77777777" w:rsidR="00302290" w:rsidRDefault="00302290" w:rsidP="00D538E4">
      <w:pPr>
        <w:rPr>
          <w:sz w:val="28"/>
          <w:szCs w:val="28"/>
        </w:rPr>
      </w:pPr>
    </w:p>
    <w:p w14:paraId="0CFC61B0" w14:textId="77777777" w:rsidR="00302290" w:rsidRDefault="00D538E4" w:rsidP="00D538E4">
      <w:pPr>
        <w:rPr>
          <w:sz w:val="28"/>
          <w:szCs w:val="28"/>
        </w:rPr>
      </w:pPr>
      <w:r w:rsidRPr="00D538E4">
        <w:rPr>
          <w:sz w:val="28"/>
          <w:szCs w:val="28"/>
        </w:rPr>
        <w:t xml:space="preserve">Aquí quiero hacer un repaso en la evolución de la ejecución de los fondos del Plan desde el año 2021, porque yo creo que es importante a estas alturas hacer una recapitulación de cómo hemos ido avanzando en estos pagos del Plan de Recuperación, con distintas líneas que voy a pasar a señalarles en este gráfico. </w:t>
      </w:r>
    </w:p>
    <w:p w14:paraId="42940847" w14:textId="77777777" w:rsidR="006B0891" w:rsidRDefault="00D538E4" w:rsidP="00D538E4">
      <w:pPr>
        <w:rPr>
          <w:sz w:val="28"/>
          <w:szCs w:val="28"/>
        </w:rPr>
      </w:pPr>
      <w:r w:rsidRPr="006B0891">
        <w:rPr>
          <w:sz w:val="28"/>
          <w:szCs w:val="28"/>
        </w:rPr>
        <w:lastRenderedPageBreak/>
        <w:t>La línea roja hace referencia a las convocatorias que tenemos en la página web de ELISA, que están publicadas en la web. De hecho, estos 95,42, el dato de mayo del 2026, es el dato que les acabo de reflejar, de los más de 95.400 millones en convocatorias que se han lanzado.</w:t>
      </w:r>
      <w:r w:rsidR="006B0891">
        <w:rPr>
          <w:sz w:val="28"/>
          <w:szCs w:val="28"/>
        </w:rPr>
        <w:t xml:space="preserve"> </w:t>
      </w:r>
      <w:r w:rsidRPr="00D538E4">
        <w:rPr>
          <w:sz w:val="28"/>
          <w:szCs w:val="28"/>
        </w:rPr>
        <w:t xml:space="preserve">Esta línea roja corresponde a las convocatorias, como vemos, que han ido evolucionando de manera regular a lo largo de los últimos años, desde el año 2021, de inicio del Plan de Recuperación. Y, por supuesto, conforme vamos llegando, el ritmo de lanzamiento de convocatorias se va normalizando conforme llegamos a la finalización del Plan de Recuperación. </w:t>
      </w:r>
    </w:p>
    <w:p w14:paraId="2887BD6D" w14:textId="77777777" w:rsidR="006B0891" w:rsidRDefault="00D538E4" w:rsidP="00D538E4">
      <w:pPr>
        <w:rPr>
          <w:sz w:val="28"/>
          <w:szCs w:val="28"/>
        </w:rPr>
      </w:pPr>
      <w:r w:rsidRPr="00D538E4">
        <w:rPr>
          <w:sz w:val="28"/>
          <w:szCs w:val="28"/>
        </w:rPr>
        <w:t>En línea con el lanzamiento de convocatorias, tenemos esta curva verde que hace referencia a las resoluciones.</w:t>
      </w:r>
      <w:r w:rsidR="006B0891">
        <w:rPr>
          <w:sz w:val="28"/>
          <w:szCs w:val="28"/>
        </w:rPr>
        <w:t xml:space="preserve"> </w:t>
      </w:r>
      <w:r w:rsidRPr="00D538E4">
        <w:rPr>
          <w:sz w:val="28"/>
          <w:szCs w:val="28"/>
        </w:rPr>
        <w:t xml:space="preserve">Es también el dato que teníamos en la diapositiva anterior. Estos 68.500 millones en resoluciones a fecha de mayo del 2026, están en esta línea verde en el último punto, en el punto de mayo, y vemos también cómo han ido evolucionando de manera regular en los últimos años, por supuesto, como he dicho antes, al igual que en las convocatorias, con una cierta normalización en el ritmo conforme vamos llegando al final del periodo. </w:t>
      </w:r>
    </w:p>
    <w:p w14:paraId="6F140713" w14:textId="77777777" w:rsidR="006B0891" w:rsidRDefault="00D538E4" w:rsidP="00D538E4">
      <w:pPr>
        <w:rPr>
          <w:sz w:val="28"/>
          <w:szCs w:val="28"/>
        </w:rPr>
      </w:pPr>
      <w:r w:rsidRPr="00D538E4">
        <w:rPr>
          <w:sz w:val="28"/>
          <w:szCs w:val="28"/>
        </w:rPr>
        <w:t>He añadido otro elemento informativo en este gráfico, que es la línea azul de pagos totales, según informa la propia Intervención General de la Administración del Estado, la propia IGAE.</w:t>
      </w:r>
      <w:r w:rsidR="006B0891">
        <w:rPr>
          <w:sz w:val="28"/>
          <w:szCs w:val="28"/>
        </w:rPr>
        <w:t xml:space="preserve"> </w:t>
      </w:r>
      <w:r w:rsidRPr="00D538E4">
        <w:rPr>
          <w:sz w:val="28"/>
          <w:szCs w:val="28"/>
        </w:rPr>
        <w:t xml:space="preserve">Son datos que están publicados en la Central de Información y, por lo tanto, también disponibles de manera transparente a través de su página web. </w:t>
      </w:r>
    </w:p>
    <w:p w14:paraId="2DCB87D1" w14:textId="77777777" w:rsidR="006B0891" w:rsidRDefault="00D538E4" w:rsidP="00D538E4">
      <w:pPr>
        <w:rPr>
          <w:sz w:val="28"/>
          <w:szCs w:val="28"/>
        </w:rPr>
      </w:pPr>
      <w:r w:rsidRPr="00D538E4">
        <w:rPr>
          <w:sz w:val="28"/>
          <w:szCs w:val="28"/>
        </w:rPr>
        <w:t xml:space="preserve">Recordar que los datos anteriores de convocatorias y de resoluciones son también, todos ellos, datos públicos que están en la web de la Base Nacional de Subvenciones y de la </w:t>
      </w:r>
      <w:r w:rsidR="006B0891">
        <w:rPr>
          <w:sz w:val="28"/>
          <w:szCs w:val="28"/>
        </w:rPr>
        <w:t>P</w:t>
      </w:r>
      <w:r w:rsidRPr="00D538E4">
        <w:rPr>
          <w:sz w:val="28"/>
          <w:szCs w:val="28"/>
        </w:rPr>
        <w:t xml:space="preserve">lataforma de </w:t>
      </w:r>
      <w:r w:rsidR="006B0891">
        <w:rPr>
          <w:sz w:val="28"/>
          <w:szCs w:val="28"/>
        </w:rPr>
        <w:t>L</w:t>
      </w:r>
      <w:r w:rsidRPr="00D538E4">
        <w:rPr>
          <w:sz w:val="28"/>
          <w:szCs w:val="28"/>
        </w:rPr>
        <w:t xml:space="preserve">icitaciones y, por lo tanto, disponibles, pero que nosotros hemos hecho el esfuerzo en esta página web de agregarlos para que estén también disponibles para el conjunto de los ciudadanos y, además, en un formato descargable. </w:t>
      </w:r>
    </w:p>
    <w:p w14:paraId="3D542681" w14:textId="747B03A3" w:rsidR="00D538E4" w:rsidRDefault="00D538E4" w:rsidP="00D538E4">
      <w:pPr>
        <w:rPr>
          <w:sz w:val="28"/>
          <w:szCs w:val="28"/>
        </w:rPr>
      </w:pPr>
      <w:r w:rsidRPr="00D538E4">
        <w:rPr>
          <w:sz w:val="28"/>
          <w:szCs w:val="28"/>
        </w:rPr>
        <w:t>Vuelvo a los datos de la Intervención General del Estado, de la IGAE, donde vemos en esta línea azul la evolución de los pagos realizados y auditados por la IGAE.</w:t>
      </w:r>
      <w:r w:rsidR="006B0891">
        <w:rPr>
          <w:sz w:val="28"/>
          <w:szCs w:val="28"/>
        </w:rPr>
        <w:t xml:space="preserve"> </w:t>
      </w:r>
      <w:r w:rsidRPr="00D538E4">
        <w:rPr>
          <w:sz w:val="28"/>
          <w:szCs w:val="28"/>
        </w:rPr>
        <w:t xml:space="preserve">Estos datos recogen y, en este caso, ven cómo esa línea azul es la suma de dos componentes que están reflejados en las barras azul clara y azul oscura, recogen los pagos que se realizan en el ejercicio corriente y los pagos que se han realizado, pero que fueron iniciados en ejercicios previos y cuya tramitación está finalizada. Estos pagos cerrados o finalizados se suman a los pagos de ejercicio corriente para darnos una idea total de la </w:t>
      </w:r>
      <w:r w:rsidRPr="00D538E4">
        <w:rPr>
          <w:sz w:val="28"/>
          <w:szCs w:val="28"/>
        </w:rPr>
        <w:lastRenderedPageBreak/>
        <w:t>evolución de los pagos realizados y auditados por la IGAE que alcanzan los 76.954 millones, como pueden ver también en esta diapositiva.</w:t>
      </w:r>
    </w:p>
    <w:p w14:paraId="07A75A85" w14:textId="77777777" w:rsidR="006B0891" w:rsidRDefault="006B0891" w:rsidP="006B0891">
      <w:pPr>
        <w:rPr>
          <w:sz w:val="28"/>
          <w:szCs w:val="28"/>
        </w:rPr>
      </w:pPr>
      <w:r w:rsidRPr="006B0891">
        <w:rPr>
          <w:sz w:val="28"/>
          <w:szCs w:val="28"/>
        </w:rPr>
        <w:t xml:space="preserve">En definitiva, y el mensaje que quiero también trasladar a través de estos datos, es el compromiso firme y claro por seguir canalizando con la mayor agilidad posible los fondos hacia nuestra economía real, hacia nuestra economía productiva. </w:t>
      </w:r>
    </w:p>
    <w:p w14:paraId="041100EE" w14:textId="77777777" w:rsidR="006B0891" w:rsidRDefault="006B0891" w:rsidP="006B0891">
      <w:pPr>
        <w:rPr>
          <w:sz w:val="28"/>
          <w:szCs w:val="28"/>
        </w:rPr>
      </w:pPr>
    </w:p>
    <w:p w14:paraId="453C996C" w14:textId="3A4855D1" w:rsidR="006B0891" w:rsidRPr="006B0891" w:rsidRDefault="006B0891" w:rsidP="006B0891">
      <w:pPr>
        <w:rPr>
          <w:sz w:val="28"/>
          <w:szCs w:val="28"/>
        </w:rPr>
      </w:pPr>
      <w:r w:rsidRPr="006B0891">
        <w:rPr>
          <w:sz w:val="28"/>
          <w:szCs w:val="28"/>
        </w:rPr>
        <w:t>Información relativa a la situación actual en materia de préstamos. Aquí los instrumentos financieros canalizan, y lo tienen en esta diapositiva, actualmente unos 12.518 millones a nuestra economía.</w:t>
      </w:r>
    </w:p>
    <w:p w14:paraId="686AEC0A" w14:textId="77777777" w:rsidR="006B0891" w:rsidRDefault="006B0891" w:rsidP="006B0891">
      <w:pPr>
        <w:rPr>
          <w:sz w:val="28"/>
          <w:szCs w:val="28"/>
        </w:rPr>
      </w:pPr>
      <w:r w:rsidRPr="006B0891">
        <w:rPr>
          <w:sz w:val="28"/>
          <w:szCs w:val="28"/>
        </w:rPr>
        <w:t xml:space="preserve">En este caso, las tres facilidades de ICO dirigen financiación hacia áreas prioritarias por un importe de más de 1.600 millones, destacando el buen desempeño, en este caso, por ejemplo, de la línea ICO Verde o Emprendedores, junto con la facilidad ICO Vivienda, que continúa financiando proyectos dirigidos a incrementar el parque público de vivienda en alquiler social. </w:t>
      </w:r>
    </w:p>
    <w:p w14:paraId="40D6A4AB" w14:textId="7ACD6862" w:rsidR="006B0891" w:rsidRPr="006B0891" w:rsidRDefault="006B0891" w:rsidP="006B0891">
      <w:pPr>
        <w:rPr>
          <w:sz w:val="28"/>
          <w:szCs w:val="28"/>
        </w:rPr>
      </w:pPr>
      <w:r w:rsidRPr="006B0891">
        <w:rPr>
          <w:sz w:val="28"/>
          <w:szCs w:val="28"/>
        </w:rPr>
        <w:t xml:space="preserve">El segundo gran bloque es el del Banco Europeo de Inversiones, nuestro </w:t>
      </w:r>
      <w:r>
        <w:rPr>
          <w:sz w:val="28"/>
          <w:szCs w:val="28"/>
        </w:rPr>
        <w:t>F</w:t>
      </w:r>
      <w:r w:rsidRPr="006B0891">
        <w:rPr>
          <w:sz w:val="28"/>
          <w:szCs w:val="28"/>
        </w:rPr>
        <w:t xml:space="preserve">ondo de </w:t>
      </w:r>
      <w:r>
        <w:rPr>
          <w:sz w:val="28"/>
          <w:szCs w:val="28"/>
        </w:rPr>
        <w:t>R</w:t>
      </w:r>
      <w:r w:rsidRPr="006B0891">
        <w:rPr>
          <w:sz w:val="28"/>
          <w:szCs w:val="28"/>
        </w:rPr>
        <w:t>esi</w:t>
      </w:r>
      <w:r>
        <w:rPr>
          <w:sz w:val="28"/>
          <w:szCs w:val="28"/>
        </w:rPr>
        <w:t>li</w:t>
      </w:r>
      <w:r w:rsidRPr="006B0891">
        <w:rPr>
          <w:sz w:val="28"/>
          <w:szCs w:val="28"/>
        </w:rPr>
        <w:t xml:space="preserve">encia </w:t>
      </w:r>
      <w:r>
        <w:rPr>
          <w:sz w:val="28"/>
          <w:szCs w:val="28"/>
        </w:rPr>
        <w:t>A</w:t>
      </w:r>
      <w:r w:rsidRPr="006B0891">
        <w:rPr>
          <w:sz w:val="28"/>
          <w:szCs w:val="28"/>
        </w:rPr>
        <w:t>utonómica, que ha facilitado el acceso de hasta 5.300 millones. Aquí el desempeño de los instrumentos ha permitido llevar a cabo un despliegue de operaciones aprobadas y formalizadas por más de 4.280 millones, que están impulsando esa cooperación público-privada en proyectos regionales.</w:t>
      </w:r>
    </w:p>
    <w:p w14:paraId="3568D7EA" w14:textId="77777777" w:rsidR="006B0891" w:rsidRDefault="006B0891" w:rsidP="006B0891">
      <w:pPr>
        <w:rPr>
          <w:sz w:val="28"/>
          <w:szCs w:val="28"/>
        </w:rPr>
      </w:pPr>
      <w:r w:rsidRPr="006B0891">
        <w:rPr>
          <w:sz w:val="28"/>
          <w:szCs w:val="28"/>
        </w:rPr>
        <w:t>A esto hay que añadirle otros instrumentos que canalizan más de 5.500 millones, tanto por parte de Cofides o por SE</w:t>
      </w:r>
      <w:r>
        <w:rPr>
          <w:sz w:val="28"/>
          <w:szCs w:val="28"/>
        </w:rPr>
        <w:t>TT</w:t>
      </w:r>
      <w:r w:rsidRPr="006B0891">
        <w:rPr>
          <w:sz w:val="28"/>
          <w:szCs w:val="28"/>
        </w:rPr>
        <w:t>, la Sociedad Española para la Transformación Tecnológica, que gestiona, como saben, el fondo Nextech, el Audiovisual Hub o también el Perte</w:t>
      </w:r>
      <w:r>
        <w:rPr>
          <w:sz w:val="28"/>
          <w:szCs w:val="28"/>
        </w:rPr>
        <w:t xml:space="preserve"> C</w:t>
      </w:r>
      <w:r w:rsidRPr="006B0891">
        <w:rPr>
          <w:sz w:val="28"/>
          <w:szCs w:val="28"/>
        </w:rPr>
        <w:t xml:space="preserve">hip. </w:t>
      </w:r>
    </w:p>
    <w:p w14:paraId="38B6845C" w14:textId="77777777" w:rsidR="006B0891" w:rsidRDefault="006B0891" w:rsidP="006B0891">
      <w:pPr>
        <w:rPr>
          <w:sz w:val="28"/>
          <w:szCs w:val="28"/>
        </w:rPr>
      </w:pPr>
      <w:r w:rsidRPr="006B0891">
        <w:rPr>
          <w:sz w:val="28"/>
          <w:szCs w:val="28"/>
        </w:rPr>
        <w:t xml:space="preserve">Estos instrumentos siguen avanzando y, tras el primer semestre del 26, el despliegue está siendo positivo, con un conjunto de instrumentos financieros habiendo aprobado y formalizado operaciones por un importe de </w:t>
      </w:r>
      <w:r>
        <w:rPr>
          <w:sz w:val="28"/>
          <w:szCs w:val="28"/>
        </w:rPr>
        <w:t xml:space="preserve">en torno a </w:t>
      </w:r>
      <w:r w:rsidRPr="006B0891">
        <w:rPr>
          <w:sz w:val="28"/>
          <w:szCs w:val="28"/>
        </w:rPr>
        <w:t xml:space="preserve">10.800 millones, en este caso 10.794, como pueden ver en la columna de la derecha. </w:t>
      </w:r>
    </w:p>
    <w:p w14:paraId="05780533" w14:textId="68D7C53C" w:rsidR="006B0891" w:rsidRPr="006B0891" w:rsidRDefault="006B0891" w:rsidP="006B0891">
      <w:pPr>
        <w:rPr>
          <w:sz w:val="28"/>
          <w:szCs w:val="28"/>
        </w:rPr>
      </w:pPr>
      <w:r w:rsidRPr="006B0891">
        <w:rPr>
          <w:sz w:val="28"/>
          <w:szCs w:val="28"/>
        </w:rPr>
        <w:t xml:space="preserve">Un ejemplo para aterrizar todos estos datos, que pueden ser abrumadores en cuanto a la cantidad de cifras, pero que se aterrizan en proyectos concretos, en el caso del fondo de coinversión de Cofides, ya se han </w:t>
      </w:r>
      <w:r w:rsidRPr="006B0891">
        <w:rPr>
          <w:sz w:val="28"/>
          <w:szCs w:val="28"/>
        </w:rPr>
        <w:lastRenderedPageBreak/>
        <w:t>formalizado más de 15 operaciones y se prevé que se formalicen operaciones por más de 1.900 millones adicionales en este mes de julio, que van a continuar impulsando inversión estratégica en salud digital, transición climática, IA o Deep Tech, entre otras tecnologías de frontera en nuestro país.</w:t>
      </w:r>
    </w:p>
    <w:p w14:paraId="25D154E5" w14:textId="77777777" w:rsidR="006B0891" w:rsidRDefault="006B0891" w:rsidP="006B0891">
      <w:pPr>
        <w:rPr>
          <w:sz w:val="28"/>
          <w:szCs w:val="28"/>
        </w:rPr>
      </w:pPr>
      <w:r w:rsidRPr="006B0891">
        <w:rPr>
          <w:sz w:val="28"/>
          <w:szCs w:val="28"/>
        </w:rPr>
        <w:t>He citado el FRA, es decir, el Fondo de Resiliencia Autonómica, como uno de los elementos clave también, donde se ha unado ese esfuerzo entre comunidades autónomas, en este caso el Estado, a través del comité de inversiones del que participa el BEI en este instrumento</w:t>
      </w:r>
      <w:r>
        <w:rPr>
          <w:sz w:val="28"/>
          <w:szCs w:val="28"/>
        </w:rPr>
        <w:t>. Y</w:t>
      </w:r>
      <w:r w:rsidRPr="006B0891">
        <w:rPr>
          <w:sz w:val="28"/>
          <w:szCs w:val="28"/>
        </w:rPr>
        <w:t xml:space="preserve"> aquí se han aprobado más de 25 grandes operaciones que incluyen mejoras en infraestructura sanitaria, educativa eléctrica, rehabilitación, por ejemplo, del aeropuerto de Palma u otros proyectos de I+D</w:t>
      </w:r>
      <w:r>
        <w:rPr>
          <w:sz w:val="28"/>
          <w:szCs w:val="28"/>
        </w:rPr>
        <w:t xml:space="preserve"> </w:t>
      </w:r>
      <w:r w:rsidRPr="006B0891">
        <w:rPr>
          <w:sz w:val="28"/>
          <w:szCs w:val="28"/>
        </w:rPr>
        <w:t xml:space="preserve">también asociados a estos importantes proyectos o instrumentos del FRA. Además hay 1.500 millones adicionales dedicados a fortalecer nuestros mercados de capitales con llegada específica a nuestras pymes. </w:t>
      </w:r>
    </w:p>
    <w:p w14:paraId="686C172B" w14:textId="6AB2A2D1" w:rsidR="006B0891" w:rsidRPr="006B0891" w:rsidRDefault="006B0891" w:rsidP="006B0891">
      <w:pPr>
        <w:rPr>
          <w:sz w:val="28"/>
          <w:szCs w:val="28"/>
        </w:rPr>
      </w:pPr>
      <w:r w:rsidRPr="006B0891">
        <w:rPr>
          <w:sz w:val="28"/>
          <w:szCs w:val="28"/>
        </w:rPr>
        <w:t>En cuanto a la SET</w:t>
      </w:r>
      <w:r>
        <w:rPr>
          <w:sz w:val="28"/>
          <w:szCs w:val="28"/>
        </w:rPr>
        <w:t>T</w:t>
      </w:r>
      <w:r w:rsidRPr="006B0891">
        <w:rPr>
          <w:sz w:val="28"/>
          <w:szCs w:val="28"/>
        </w:rPr>
        <w:t>, señalar que a través de Next Tech se han aprobado y formalizado 47 operaciones por más de 1.400 millones que de nuevo están favoreciendo el impulso innovador y digitalizador de nuestro tejido productivo a través de inversión en empresas digitales innovadoras y movilizando inversión público-privada en estos sectores transformadores, modernizadores de nuestra economía, sectores de frontera.</w:t>
      </w:r>
    </w:p>
    <w:p w14:paraId="6B20011D" w14:textId="77777777" w:rsidR="006B0891" w:rsidRDefault="006B0891" w:rsidP="006B0891">
      <w:pPr>
        <w:rPr>
          <w:sz w:val="28"/>
          <w:szCs w:val="28"/>
        </w:rPr>
      </w:pPr>
      <w:r w:rsidRPr="006B0891">
        <w:rPr>
          <w:sz w:val="28"/>
          <w:szCs w:val="28"/>
        </w:rPr>
        <w:t xml:space="preserve">Como decía anteriormente, el </w:t>
      </w:r>
      <w:r>
        <w:rPr>
          <w:sz w:val="28"/>
          <w:szCs w:val="28"/>
        </w:rPr>
        <w:t>P</w:t>
      </w:r>
      <w:r w:rsidRPr="006B0891">
        <w:rPr>
          <w:sz w:val="28"/>
          <w:szCs w:val="28"/>
        </w:rPr>
        <w:t xml:space="preserve">lan de </w:t>
      </w:r>
      <w:r>
        <w:rPr>
          <w:sz w:val="28"/>
          <w:szCs w:val="28"/>
        </w:rPr>
        <w:t>R</w:t>
      </w:r>
      <w:r w:rsidRPr="006B0891">
        <w:rPr>
          <w:sz w:val="28"/>
          <w:szCs w:val="28"/>
        </w:rPr>
        <w:t xml:space="preserve">ecuperación, y esto es yo creo que uno de los elementos de mayor valor de nuestro </w:t>
      </w:r>
      <w:r>
        <w:rPr>
          <w:sz w:val="28"/>
          <w:szCs w:val="28"/>
        </w:rPr>
        <w:t>P</w:t>
      </w:r>
      <w:r w:rsidRPr="006B0891">
        <w:rPr>
          <w:sz w:val="28"/>
          <w:szCs w:val="28"/>
        </w:rPr>
        <w:t xml:space="preserve">lan de </w:t>
      </w:r>
      <w:r>
        <w:rPr>
          <w:sz w:val="28"/>
          <w:szCs w:val="28"/>
        </w:rPr>
        <w:t>R</w:t>
      </w:r>
      <w:r w:rsidRPr="006B0891">
        <w:rPr>
          <w:sz w:val="28"/>
          <w:szCs w:val="28"/>
        </w:rPr>
        <w:t xml:space="preserve">ecuperación, se ha desplegado a lo largo y ancho de todo el territorio nacional. </w:t>
      </w:r>
    </w:p>
    <w:p w14:paraId="15C1BBD1" w14:textId="1DAF5A18" w:rsidR="006B0891" w:rsidRPr="006B0891" w:rsidRDefault="006B0891" w:rsidP="006B0891">
      <w:pPr>
        <w:rPr>
          <w:sz w:val="28"/>
          <w:szCs w:val="28"/>
        </w:rPr>
      </w:pPr>
      <w:r w:rsidRPr="006B0891">
        <w:rPr>
          <w:sz w:val="28"/>
          <w:szCs w:val="28"/>
        </w:rPr>
        <w:t>Y aquí son numerosos los ejemplos de inversiones transformadoras que tenemos. Aquí en esta página web, esta foto hace referencia a una página web que está disponible para los ciudadanos, pero déjeme citar algunos ejemplos.</w:t>
      </w:r>
    </w:p>
    <w:p w14:paraId="444F09AE" w14:textId="4A8E1147" w:rsidR="006B0891" w:rsidRPr="006B0891" w:rsidRDefault="006B0891" w:rsidP="006B0891">
      <w:pPr>
        <w:rPr>
          <w:sz w:val="28"/>
          <w:szCs w:val="28"/>
        </w:rPr>
      </w:pPr>
      <w:r w:rsidRPr="006B0891">
        <w:rPr>
          <w:sz w:val="28"/>
          <w:szCs w:val="28"/>
        </w:rPr>
        <w:t xml:space="preserve">Hemos hablado antes, por ejemplo, del beneficio del </w:t>
      </w:r>
      <w:r>
        <w:rPr>
          <w:sz w:val="28"/>
          <w:szCs w:val="28"/>
        </w:rPr>
        <w:t>K</w:t>
      </w:r>
      <w:r w:rsidRPr="006B0891">
        <w:rPr>
          <w:sz w:val="28"/>
          <w:szCs w:val="28"/>
        </w:rPr>
        <w:t xml:space="preserve">it </w:t>
      </w:r>
      <w:r>
        <w:rPr>
          <w:sz w:val="28"/>
          <w:szCs w:val="28"/>
        </w:rPr>
        <w:t>D</w:t>
      </w:r>
      <w:r w:rsidRPr="006B0891">
        <w:rPr>
          <w:sz w:val="28"/>
          <w:szCs w:val="28"/>
        </w:rPr>
        <w:t xml:space="preserve">igital en materia de productividad. Pues bien, el </w:t>
      </w:r>
      <w:r>
        <w:rPr>
          <w:sz w:val="28"/>
          <w:szCs w:val="28"/>
        </w:rPr>
        <w:t>K</w:t>
      </w:r>
      <w:r w:rsidRPr="006B0891">
        <w:rPr>
          <w:sz w:val="28"/>
          <w:szCs w:val="28"/>
        </w:rPr>
        <w:t xml:space="preserve">it </w:t>
      </w:r>
      <w:r>
        <w:rPr>
          <w:sz w:val="28"/>
          <w:szCs w:val="28"/>
        </w:rPr>
        <w:t>D</w:t>
      </w:r>
      <w:r w:rsidRPr="006B0891">
        <w:rPr>
          <w:sz w:val="28"/>
          <w:szCs w:val="28"/>
        </w:rPr>
        <w:t>igital, que representa evidentemente el principal instrumento de digitalización de nuestro tejido productivo a través de la digitalización de nuestras pymes, ha alcanzado en este caso a más de 900.000 pymes o beneficiarios por valor de más de 3.690 millones de euros. Habiendo llegado, y esto yo creo que es un hito que pocas ayudas habrán conseguido, a más del 92% de los más de 8.000 municipios de nuestro país.</w:t>
      </w:r>
    </w:p>
    <w:p w14:paraId="599EC236" w14:textId="77777777" w:rsidR="006B0891" w:rsidRDefault="006B0891" w:rsidP="006B0891">
      <w:pPr>
        <w:rPr>
          <w:sz w:val="28"/>
          <w:szCs w:val="28"/>
        </w:rPr>
      </w:pPr>
      <w:r w:rsidRPr="006B0891">
        <w:rPr>
          <w:sz w:val="28"/>
          <w:szCs w:val="28"/>
        </w:rPr>
        <w:lastRenderedPageBreak/>
        <w:t>De nuevo, otro elemento que da fe de esa granularidad</w:t>
      </w:r>
      <w:r>
        <w:rPr>
          <w:sz w:val="28"/>
          <w:szCs w:val="28"/>
        </w:rPr>
        <w:t>. Y</w:t>
      </w:r>
      <w:r w:rsidRPr="006B0891">
        <w:rPr>
          <w:sz w:val="28"/>
          <w:szCs w:val="28"/>
        </w:rPr>
        <w:t xml:space="preserve">a no sólo hablando de la tipología de empresa, llegando a microempresas, autónomos o a pymes, sino también granularidad en cuanto a la dispersión y a la capacidad de llegar hasta el último rincón de nuestro país. </w:t>
      </w:r>
    </w:p>
    <w:p w14:paraId="2733405D" w14:textId="3EA68052" w:rsidR="006B0891" w:rsidRPr="006B0891" w:rsidRDefault="006B0891" w:rsidP="006B0891">
      <w:pPr>
        <w:rPr>
          <w:sz w:val="28"/>
          <w:szCs w:val="28"/>
        </w:rPr>
      </w:pPr>
      <w:r w:rsidRPr="006B0891">
        <w:rPr>
          <w:sz w:val="28"/>
          <w:szCs w:val="28"/>
        </w:rPr>
        <w:t xml:space="preserve">Ya saben que el </w:t>
      </w:r>
      <w:r>
        <w:rPr>
          <w:sz w:val="28"/>
          <w:szCs w:val="28"/>
        </w:rPr>
        <w:t>K</w:t>
      </w:r>
      <w:r w:rsidRPr="006B0891">
        <w:rPr>
          <w:sz w:val="28"/>
          <w:szCs w:val="28"/>
        </w:rPr>
        <w:t xml:space="preserve">it </w:t>
      </w:r>
      <w:r>
        <w:rPr>
          <w:sz w:val="28"/>
          <w:szCs w:val="28"/>
        </w:rPr>
        <w:t>D</w:t>
      </w:r>
      <w:r w:rsidRPr="006B0891">
        <w:rPr>
          <w:sz w:val="28"/>
          <w:szCs w:val="28"/>
        </w:rPr>
        <w:t xml:space="preserve">igital se ha reforzado con el programa Kit Consulting, donde además se permite la contratación de servicios de asesoramiento digital con unos 316 millones de euros adicionales que se han concedido a más de 23.000 beneficiarios, dos iniciativas plenamente complementarias. De hecho, casi el 82% de las empresas que han recibido el Kit Consulting fueron empresas beneficiarias del </w:t>
      </w:r>
      <w:r>
        <w:rPr>
          <w:sz w:val="28"/>
          <w:szCs w:val="28"/>
        </w:rPr>
        <w:t>K</w:t>
      </w:r>
      <w:r w:rsidRPr="006B0891">
        <w:rPr>
          <w:sz w:val="28"/>
          <w:szCs w:val="28"/>
        </w:rPr>
        <w:t xml:space="preserve">it </w:t>
      </w:r>
      <w:r>
        <w:rPr>
          <w:sz w:val="28"/>
          <w:szCs w:val="28"/>
        </w:rPr>
        <w:t>D</w:t>
      </w:r>
      <w:r w:rsidRPr="006B0891">
        <w:rPr>
          <w:sz w:val="28"/>
          <w:szCs w:val="28"/>
        </w:rPr>
        <w:t>igital.</w:t>
      </w:r>
    </w:p>
    <w:p w14:paraId="6718EB0A" w14:textId="77777777" w:rsidR="006B0891" w:rsidRDefault="006B0891" w:rsidP="006B0891">
      <w:pPr>
        <w:rPr>
          <w:sz w:val="28"/>
          <w:szCs w:val="28"/>
        </w:rPr>
      </w:pPr>
      <w:r w:rsidRPr="006B0891">
        <w:rPr>
          <w:sz w:val="28"/>
          <w:szCs w:val="28"/>
        </w:rPr>
        <w:t xml:space="preserve">150.000 alumnos formados gracias al </w:t>
      </w:r>
      <w:r>
        <w:rPr>
          <w:sz w:val="28"/>
          <w:szCs w:val="28"/>
        </w:rPr>
        <w:t>P</w:t>
      </w:r>
      <w:r w:rsidRPr="006B0891">
        <w:rPr>
          <w:sz w:val="28"/>
          <w:szCs w:val="28"/>
        </w:rPr>
        <w:t xml:space="preserve">rograma de </w:t>
      </w:r>
      <w:r>
        <w:rPr>
          <w:sz w:val="28"/>
          <w:szCs w:val="28"/>
        </w:rPr>
        <w:t>C</w:t>
      </w:r>
      <w:r w:rsidRPr="006B0891">
        <w:rPr>
          <w:sz w:val="28"/>
          <w:szCs w:val="28"/>
        </w:rPr>
        <w:t xml:space="preserve">ompetencias </w:t>
      </w:r>
      <w:r>
        <w:rPr>
          <w:sz w:val="28"/>
          <w:szCs w:val="28"/>
        </w:rPr>
        <w:t>D</w:t>
      </w:r>
      <w:r w:rsidRPr="006B0891">
        <w:rPr>
          <w:sz w:val="28"/>
          <w:szCs w:val="28"/>
        </w:rPr>
        <w:t xml:space="preserve">igitales </w:t>
      </w:r>
      <w:r>
        <w:rPr>
          <w:sz w:val="28"/>
          <w:szCs w:val="28"/>
        </w:rPr>
        <w:t>B</w:t>
      </w:r>
      <w:r w:rsidRPr="006B0891">
        <w:rPr>
          <w:sz w:val="28"/>
          <w:szCs w:val="28"/>
        </w:rPr>
        <w:t xml:space="preserve">ásicas, que de nuevo busca impulsar, ayudar a personas mayores en situaciones de vulnerabilidad, con discapacidad, que no han tenido antes o previamente la oportunidad de desarrollar estas habilidades digitales. </w:t>
      </w:r>
    </w:p>
    <w:p w14:paraId="6E3FEADC" w14:textId="77777777" w:rsidR="006B0891" w:rsidRDefault="006B0891" w:rsidP="006B0891">
      <w:pPr>
        <w:rPr>
          <w:sz w:val="28"/>
          <w:szCs w:val="28"/>
        </w:rPr>
      </w:pPr>
      <w:r w:rsidRPr="006B0891">
        <w:rPr>
          <w:sz w:val="28"/>
          <w:szCs w:val="28"/>
        </w:rPr>
        <w:t>Más proyectos financiados, por ejemplo, mediante préstamos. Inversión de 719 millones de euros canalizada a través de la SE</w:t>
      </w:r>
      <w:r>
        <w:rPr>
          <w:sz w:val="28"/>
          <w:szCs w:val="28"/>
        </w:rPr>
        <w:t>TT</w:t>
      </w:r>
      <w:r w:rsidRPr="006B0891">
        <w:rPr>
          <w:sz w:val="28"/>
          <w:szCs w:val="28"/>
        </w:rPr>
        <w:t>, como saben, para crear un consorcio público-privado encargado de desarrollar una gigafactoría avanzada en inteligencia artificial.</w:t>
      </w:r>
      <w:r>
        <w:rPr>
          <w:sz w:val="28"/>
          <w:szCs w:val="28"/>
        </w:rPr>
        <w:t xml:space="preserve"> </w:t>
      </w:r>
      <w:r w:rsidRPr="006B0891">
        <w:rPr>
          <w:sz w:val="28"/>
          <w:szCs w:val="28"/>
        </w:rPr>
        <w:t>Es un proyecto multisede, con una ubicación en Tarragona y otra en San Fernando de Henares, en Madrid, y que representa la candidatura de España para acoger una de estas grandes infraestructuras en el marco de la Unión Europea y funcionará como un centro de datos masivos</w:t>
      </w:r>
      <w:r>
        <w:rPr>
          <w:sz w:val="28"/>
          <w:szCs w:val="28"/>
        </w:rPr>
        <w:t>. D</w:t>
      </w:r>
      <w:r w:rsidRPr="006B0891">
        <w:rPr>
          <w:sz w:val="28"/>
          <w:szCs w:val="28"/>
        </w:rPr>
        <w:t xml:space="preserve">estinado, evidentemente, a entrenar los modelos de inteligencia artificial más avanzados con el objetivo doble. En primer lugar, de garantizar ese elemento de soberanía tecnológica en nuestro continente, pero además de conseguir una mayor difusión de esta tecnología a nuestro tejido productivo, una mayor adopción en particular en nuestras pymes. </w:t>
      </w:r>
    </w:p>
    <w:p w14:paraId="4C744267" w14:textId="77777777" w:rsidR="006B0891" w:rsidRDefault="006B0891" w:rsidP="006B0891">
      <w:pPr>
        <w:rPr>
          <w:sz w:val="28"/>
          <w:szCs w:val="28"/>
        </w:rPr>
      </w:pPr>
      <w:r w:rsidRPr="006B0891">
        <w:rPr>
          <w:sz w:val="28"/>
          <w:szCs w:val="28"/>
        </w:rPr>
        <w:t>Inversiones adicionales que me gustaría señalar.</w:t>
      </w:r>
      <w:r>
        <w:rPr>
          <w:sz w:val="28"/>
          <w:szCs w:val="28"/>
        </w:rPr>
        <w:t xml:space="preserve"> </w:t>
      </w:r>
      <w:r w:rsidRPr="006B0891">
        <w:rPr>
          <w:sz w:val="28"/>
          <w:szCs w:val="28"/>
        </w:rPr>
        <w:t xml:space="preserve">Por ejemplo, 46 millones de euros a través de FOCO, el fondo de coinversión de Cofides, en el nuevo centro de computación cuántica que ha abierto la empresa británica Oxford Quantum Circuits, que se va a ubicar en Barcelona, es el mayor de estas características en el sur de Europa. </w:t>
      </w:r>
    </w:p>
    <w:p w14:paraId="039AAE7E" w14:textId="638C634B" w:rsidR="006B0891" w:rsidRDefault="006B0891" w:rsidP="006B0891">
      <w:pPr>
        <w:rPr>
          <w:sz w:val="28"/>
          <w:szCs w:val="28"/>
        </w:rPr>
      </w:pPr>
      <w:r w:rsidRPr="006B0891">
        <w:rPr>
          <w:sz w:val="28"/>
          <w:szCs w:val="28"/>
        </w:rPr>
        <w:t>Otro caso de éxito destacable, en este caso, 90 millones de euros también de FOCO a la empresa española E</w:t>
      </w:r>
      <w:r>
        <w:rPr>
          <w:sz w:val="28"/>
          <w:szCs w:val="28"/>
        </w:rPr>
        <w:t>Y</w:t>
      </w:r>
      <w:r w:rsidRPr="006B0891">
        <w:rPr>
          <w:sz w:val="28"/>
          <w:szCs w:val="28"/>
        </w:rPr>
        <w:t xml:space="preserve">SA, junto al fondo internacional Tikehau Capital, es una alianza público-privada para atraer también inversiones extranjeras, acelerando digitalización, movilidad urbana sostenible, </w:t>
      </w:r>
      <w:r w:rsidRPr="006B0891">
        <w:rPr>
          <w:sz w:val="28"/>
          <w:szCs w:val="28"/>
        </w:rPr>
        <w:lastRenderedPageBreak/>
        <w:t xml:space="preserve">demostrando de nuevo la eficacia de la coinversión para transformar nuestro tejido productivo. </w:t>
      </w:r>
    </w:p>
    <w:p w14:paraId="6BEE3494" w14:textId="35511B8D" w:rsidR="006B0891" w:rsidRPr="006B0891" w:rsidRDefault="006B0891" w:rsidP="006B0891">
      <w:pPr>
        <w:rPr>
          <w:sz w:val="28"/>
          <w:szCs w:val="28"/>
        </w:rPr>
      </w:pPr>
      <w:r w:rsidRPr="006B0891">
        <w:rPr>
          <w:sz w:val="28"/>
          <w:szCs w:val="28"/>
        </w:rPr>
        <w:t>Algunos proyectos enmarcados en los distintos PERTE, cuyo desarrollo hemos tenido también en los últimos meses.</w:t>
      </w:r>
    </w:p>
    <w:p w14:paraId="1A18EE6A" w14:textId="77777777" w:rsidR="006B0891" w:rsidRDefault="006B0891" w:rsidP="006B0891">
      <w:pPr>
        <w:rPr>
          <w:sz w:val="28"/>
          <w:szCs w:val="28"/>
        </w:rPr>
      </w:pPr>
      <w:r w:rsidRPr="006B0891">
        <w:rPr>
          <w:sz w:val="28"/>
          <w:szCs w:val="28"/>
        </w:rPr>
        <w:t>Futuro centro de semiconductores en Málaga cuenta, en este caso, con un respaldo de inversión de 168 millones por parte de la SET</w:t>
      </w:r>
      <w:r>
        <w:rPr>
          <w:sz w:val="28"/>
          <w:szCs w:val="28"/>
        </w:rPr>
        <w:t>T</w:t>
      </w:r>
      <w:r w:rsidRPr="006B0891">
        <w:rPr>
          <w:sz w:val="28"/>
          <w:szCs w:val="28"/>
        </w:rPr>
        <w:t>, en el marco del PERTE</w:t>
      </w:r>
      <w:r>
        <w:rPr>
          <w:sz w:val="28"/>
          <w:szCs w:val="28"/>
        </w:rPr>
        <w:t xml:space="preserve"> </w:t>
      </w:r>
      <w:r w:rsidRPr="006B0891">
        <w:rPr>
          <w:sz w:val="28"/>
          <w:szCs w:val="28"/>
        </w:rPr>
        <w:t>C</w:t>
      </w:r>
      <w:r>
        <w:rPr>
          <w:sz w:val="28"/>
          <w:szCs w:val="28"/>
        </w:rPr>
        <w:t>hip</w:t>
      </w:r>
      <w:r w:rsidRPr="006B0891">
        <w:rPr>
          <w:sz w:val="28"/>
          <w:szCs w:val="28"/>
        </w:rPr>
        <w:t xml:space="preserve">. Esto, de nuevo, es una fundación, el centro será gestionado por IMEC, como saben, </w:t>
      </w:r>
      <w:r>
        <w:rPr>
          <w:sz w:val="28"/>
          <w:szCs w:val="28"/>
        </w:rPr>
        <w:t>f</w:t>
      </w:r>
      <w:r w:rsidRPr="006B0891">
        <w:rPr>
          <w:sz w:val="28"/>
          <w:szCs w:val="28"/>
        </w:rPr>
        <w:t xml:space="preserve">undación </w:t>
      </w:r>
      <w:r>
        <w:rPr>
          <w:sz w:val="28"/>
          <w:szCs w:val="28"/>
        </w:rPr>
        <w:t>s</w:t>
      </w:r>
      <w:r w:rsidRPr="006B0891">
        <w:rPr>
          <w:sz w:val="28"/>
          <w:szCs w:val="28"/>
        </w:rPr>
        <w:t xml:space="preserve">in </w:t>
      </w:r>
      <w:r>
        <w:rPr>
          <w:sz w:val="28"/>
          <w:szCs w:val="28"/>
        </w:rPr>
        <w:t>á</w:t>
      </w:r>
      <w:r w:rsidRPr="006B0891">
        <w:rPr>
          <w:sz w:val="28"/>
          <w:szCs w:val="28"/>
        </w:rPr>
        <w:t xml:space="preserve">nimo de </w:t>
      </w:r>
      <w:r>
        <w:rPr>
          <w:sz w:val="28"/>
          <w:szCs w:val="28"/>
        </w:rPr>
        <w:t>l</w:t>
      </w:r>
      <w:r w:rsidRPr="006B0891">
        <w:rPr>
          <w:sz w:val="28"/>
          <w:szCs w:val="28"/>
        </w:rPr>
        <w:t xml:space="preserve">ucro, especializada en investigación y desarrollo de nanotecnología y tecnologías digitales, fomentando uno de los principales ecosistemas en este ámbito, como es el de los semiconductores, consolidando a Málaga como un polo de innovación y vanguardia en este ámbito. </w:t>
      </w:r>
    </w:p>
    <w:p w14:paraId="4D92AB6D" w14:textId="672DF9E7" w:rsidR="006B0891" w:rsidRDefault="006B0891" w:rsidP="006B0891">
      <w:pPr>
        <w:rPr>
          <w:sz w:val="28"/>
          <w:szCs w:val="28"/>
        </w:rPr>
      </w:pPr>
      <w:r w:rsidRPr="006B0891">
        <w:rPr>
          <w:sz w:val="28"/>
          <w:szCs w:val="28"/>
        </w:rPr>
        <w:t>Más proyectos.</w:t>
      </w:r>
      <w:r>
        <w:rPr>
          <w:sz w:val="28"/>
          <w:szCs w:val="28"/>
        </w:rPr>
        <w:t xml:space="preserve"> </w:t>
      </w:r>
      <w:r w:rsidRPr="006B0891">
        <w:rPr>
          <w:sz w:val="28"/>
          <w:szCs w:val="28"/>
        </w:rPr>
        <w:t xml:space="preserve">PERTE de descarbonización industrial, 518 millones, destinado a 17 proyectos con impacto, por ejemplo, en el sector cementero, con ayudas para CEMEX o </w:t>
      </w:r>
      <w:r w:rsidR="005E1576" w:rsidRPr="005E1576">
        <w:rPr>
          <w:sz w:val="28"/>
          <w:szCs w:val="28"/>
        </w:rPr>
        <w:t>Votorantim</w:t>
      </w:r>
      <w:r w:rsidRPr="006B0891">
        <w:rPr>
          <w:sz w:val="28"/>
          <w:szCs w:val="28"/>
        </w:rPr>
        <w:t xml:space="preserve">, 200 y 119 millones de euros respectivamente, impulsando nuestro sector químico, proyecto de </w:t>
      </w:r>
      <w:r w:rsidR="005E1576" w:rsidRPr="005E1576">
        <w:rPr>
          <w:sz w:val="28"/>
          <w:szCs w:val="28"/>
        </w:rPr>
        <w:t>Evonik</w:t>
      </w:r>
      <w:r w:rsidRPr="006B0891">
        <w:rPr>
          <w:sz w:val="28"/>
          <w:szCs w:val="28"/>
        </w:rPr>
        <w:t xml:space="preserve">, con 30 millones de euros. </w:t>
      </w:r>
    </w:p>
    <w:p w14:paraId="16A4C253" w14:textId="5E009755" w:rsidR="006B0891" w:rsidRPr="006B0891" w:rsidRDefault="006B0891" w:rsidP="006B0891">
      <w:pPr>
        <w:rPr>
          <w:sz w:val="28"/>
          <w:szCs w:val="28"/>
        </w:rPr>
      </w:pPr>
      <w:r w:rsidRPr="006B0891">
        <w:rPr>
          <w:sz w:val="28"/>
          <w:szCs w:val="28"/>
        </w:rPr>
        <w:t>PERTE del vehículo eléctrico, impulsando una transición hacia la movilidad sostenible, inversión estratégica sin 1.000 millones de euros en Valladolid, para una nueva planta de baterías eléctricas</w:t>
      </w:r>
      <w:r w:rsidR="005E1576">
        <w:rPr>
          <w:sz w:val="28"/>
          <w:szCs w:val="28"/>
        </w:rPr>
        <w:t>., U</w:t>
      </w:r>
      <w:r w:rsidRPr="006B0891">
        <w:rPr>
          <w:sz w:val="28"/>
          <w:szCs w:val="28"/>
        </w:rPr>
        <w:t>n proyecto, además, apoyado con 138 millones de euros de los fondos del plan, fortaleciendo cadena de valor automovilística, fortaleciendo el compromiso, además, con la innovación y la creación de empleo en un sector que atraviesa también un reto estructural significativo. Dentro de este mismo PERTE, además, apoyo a la construcción de una planta en Aragón, con una inversión, un apoyo de 270 millones de euros, para un proyecto estratégico, de nuevo, también en el ámbito de las baterías eléctricas.</w:t>
      </w:r>
    </w:p>
    <w:p w14:paraId="2B103ED2" w14:textId="77777777" w:rsidR="005E1576" w:rsidRDefault="005E1576" w:rsidP="006B0891">
      <w:pPr>
        <w:rPr>
          <w:sz w:val="28"/>
          <w:szCs w:val="28"/>
        </w:rPr>
      </w:pPr>
    </w:p>
    <w:p w14:paraId="71F8EF50" w14:textId="77777777" w:rsidR="005E1576" w:rsidRDefault="006B0891" w:rsidP="006B0891">
      <w:pPr>
        <w:rPr>
          <w:sz w:val="28"/>
          <w:szCs w:val="28"/>
        </w:rPr>
      </w:pPr>
      <w:r w:rsidRPr="006B0891">
        <w:rPr>
          <w:sz w:val="28"/>
          <w:szCs w:val="28"/>
        </w:rPr>
        <w:t>Puedo seguir, presidente, analizando y detallando, pormenorizando</w:t>
      </w:r>
      <w:r w:rsidR="005E1576">
        <w:rPr>
          <w:sz w:val="28"/>
          <w:szCs w:val="28"/>
        </w:rPr>
        <w:t xml:space="preserve">. </w:t>
      </w:r>
      <w:r w:rsidRPr="006B0891">
        <w:rPr>
          <w:sz w:val="28"/>
          <w:szCs w:val="28"/>
        </w:rPr>
        <w:t xml:space="preserve">Tengo muchas hojas de proyectos específicos. Voy a seguir con unos cuantos, porque yo creo que es importante esta particularización, porque, más allá de las grandes cifras, la realidad de muchas empresas está cambiando, gracias a los fondos del </w:t>
      </w:r>
      <w:r w:rsidR="005E1576">
        <w:rPr>
          <w:sz w:val="28"/>
          <w:szCs w:val="28"/>
        </w:rPr>
        <w:t>P</w:t>
      </w:r>
      <w:r w:rsidRPr="006B0891">
        <w:rPr>
          <w:sz w:val="28"/>
          <w:szCs w:val="28"/>
        </w:rPr>
        <w:t xml:space="preserve">lan de </w:t>
      </w:r>
      <w:r w:rsidR="005E1576">
        <w:rPr>
          <w:sz w:val="28"/>
          <w:szCs w:val="28"/>
        </w:rPr>
        <w:t>R</w:t>
      </w:r>
      <w:r w:rsidRPr="006B0891">
        <w:rPr>
          <w:sz w:val="28"/>
          <w:szCs w:val="28"/>
        </w:rPr>
        <w:t xml:space="preserve">ecuperación. </w:t>
      </w:r>
    </w:p>
    <w:p w14:paraId="49BF98C2" w14:textId="09BCAECC" w:rsidR="006B0891" w:rsidRPr="006B0891" w:rsidRDefault="006B0891" w:rsidP="006B0891">
      <w:pPr>
        <w:rPr>
          <w:sz w:val="28"/>
          <w:szCs w:val="28"/>
        </w:rPr>
      </w:pPr>
      <w:r w:rsidRPr="006B0891">
        <w:rPr>
          <w:sz w:val="28"/>
          <w:szCs w:val="28"/>
        </w:rPr>
        <w:lastRenderedPageBreak/>
        <w:t xml:space="preserve">Convocatoria del programa </w:t>
      </w:r>
      <w:r w:rsidR="005E1576" w:rsidRPr="005E1576">
        <w:rPr>
          <w:sz w:val="28"/>
          <w:szCs w:val="28"/>
        </w:rPr>
        <w:t>REPOTEN 2</w:t>
      </w:r>
      <w:r w:rsidRPr="006B0891">
        <w:rPr>
          <w:sz w:val="28"/>
          <w:szCs w:val="28"/>
        </w:rPr>
        <w:t>, dotada con 512 millones de euros, en este caso, para repotenciación eólica e hidroeléctrica, 149 proyectos en 16 comunidades autónomas.</w:t>
      </w:r>
    </w:p>
    <w:p w14:paraId="29F61831" w14:textId="77777777" w:rsidR="005E1576" w:rsidRDefault="006B0891" w:rsidP="006B0891">
      <w:pPr>
        <w:rPr>
          <w:sz w:val="28"/>
          <w:szCs w:val="28"/>
        </w:rPr>
      </w:pPr>
      <w:r w:rsidRPr="006B0891">
        <w:rPr>
          <w:sz w:val="28"/>
          <w:szCs w:val="28"/>
        </w:rPr>
        <w:t xml:space="preserve">Por ejemplo, en este caso, un nuevo animalario de contención biológica, del Laboratorio Central de Veterinaria de Algete, dotado con una inversión superior a los 35 millones de euros, otro elemento importante a la hora de reforzar un aspecto tan importante como el control y la verificación, la modernización de la sanidad animal en nuestro país. </w:t>
      </w:r>
    </w:p>
    <w:p w14:paraId="56542391" w14:textId="419A9265" w:rsidR="006B0891" w:rsidRPr="006B0891" w:rsidRDefault="006B0891" w:rsidP="006B0891">
      <w:pPr>
        <w:rPr>
          <w:sz w:val="28"/>
          <w:szCs w:val="28"/>
        </w:rPr>
      </w:pPr>
      <w:r w:rsidRPr="006B0891">
        <w:rPr>
          <w:sz w:val="28"/>
          <w:szCs w:val="28"/>
        </w:rPr>
        <w:t xml:space="preserve">Más ejemplos, en este caso, impulso a la innovación biomédica en España, a través de 36 millones de euros, para un proyecto total de 80 millones de euros, de </w:t>
      </w:r>
      <w:r w:rsidR="005E1576">
        <w:rPr>
          <w:sz w:val="28"/>
          <w:szCs w:val="28"/>
        </w:rPr>
        <w:t>I+D</w:t>
      </w:r>
      <w:r w:rsidRPr="006B0891">
        <w:rPr>
          <w:sz w:val="28"/>
          <w:szCs w:val="28"/>
        </w:rPr>
        <w:t xml:space="preserve">, de </w:t>
      </w:r>
      <w:r w:rsidR="005E1576" w:rsidRPr="005E1576">
        <w:rPr>
          <w:sz w:val="28"/>
          <w:szCs w:val="28"/>
        </w:rPr>
        <w:t>LAISOLID</w:t>
      </w:r>
      <w:r w:rsidRPr="006B0891">
        <w:rPr>
          <w:sz w:val="28"/>
          <w:szCs w:val="28"/>
        </w:rPr>
        <w:t>. Esta iniciativa, de nuevo, junto con empresas farmacéuticas, con el objetivo de buscar garantizar una mayor eficacia en los tratamientos contra enfermedades graves como es el cáncer de mama.</w:t>
      </w:r>
    </w:p>
    <w:p w14:paraId="66AC91E3" w14:textId="77777777" w:rsidR="005E1576" w:rsidRDefault="006B0891" w:rsidP="006B0891">
      <w:pPr>
        <w:rPr>
          <w:sz w:val="28"/>
          <w:szCs w:val="28"/>
        </w:rPr>
      </w:pPr>
      <w:r w:rsidRPr="006B0891">
        <w:rPr>
          <w:sz w:val="28"/>
          <w:szCs w:val="28"/>
        </w:rPr>
        <w:t xml:space="preserve">Desarrollo de infraestructuras de hidrógeno renovable, por ejemplo, como he dicho anteriormente también, con fondos del Plan de Recuperación. </w:t>
      </w:r>
    </w:p>
    <w:p w14:paraId="23EB9D85" w14:textId="77777777" w:rsidR="005E1576" w:rsidRDefault="006B0891" w:rsidP="006B0891">
      <w:pPr>
        <w:rPr>
          <w:sz w:val="28"/>
          <w:szCs w:val="28"/>
        </w:rPr>
      </w:pPr>
      <w:r w:rsidRPr="006B0891">
        <w:rPr>
          <w:sz w:val="28"/>
          <w:szCs w:val="28"/>
        </w:rPr>
        <w:t xml:space="preserve">Y proyectos, señorías, también destacados, por provincias de las cuales son originarios ustedes, y donde estoy seguro que cada uno de ustedes tendrá en la cabeza ejemplos de esos proyectos que se dan en sus territorios. </w:t>
      </w:r>
    </w:p>
    <w:p w14:paraId="1B63BA91" w14:textId="1854599A" w:rsidR="006B0891" w:rsidRPr="006B0891" w:rsidRDefault="006B0891" w:rsidP="006B0891">
      <w:pPr>
        <w:rPr>
          <w:sz w:val="28"/>
          <w:szCs w:val="28"/>
        </w:rPr>
      </w:pPr>
      <w:r w:rsidRPr="006B0891">
        <w:rPr>
          <w:sz w:val="28"/>
          <w:szCs w:val="28"/>
        </w:rPr>
        <w:t>Por citarle algunos, por ejemplo, en Alicante, 59 millones de euros para regadíos.</w:t>
      </w:r>
      <w:r w:rsidR="005E1576">
        <w:rPr>
          <w:sz w:val="28"/>
          <w:szCs w:val="28"/>
        </w:rPr>
        <w:t xml:space="preserve"> </w:t>
      </w:r>
      <w:r w:rsidRPr="006B0891">
        <w:rPr>
          <w:sz w:val="28"/>
          <w:szCs w:val="28"/>
        </w:rPr>
        <w:t>Es un elemento también esencial el apoyo al sector primario en el Plan de Recuperación. 59 millones de euros para regadíos que benefician, en este caso, más de 42.000 hectáreas de las comunidades de acequia real del Júcar y de regantes de Liria, La Fuente, El Palmeral, también en Valencia y la margen izquierda del Segura en Alicante. En este caso, de nuevo, con visos de apoyo importante frente al reto hídrico en estas zonas que tanto lo necesitan.</w:t>
      </w:r>
    </w:p>
    <w:p w14:paraId="0EE4D26A" w14:textId="6C364C01" w:rsidR="005E1576" w:rsidRDefault="005E1576" w:rsidP="006B0891">
      <w:pPr>
        <w:rPr>
          <w:sz w:val="28"/>
          <w:szCs w:val="28"/>
        </w:rPr>
      </w:pPr>
      <w:r>
        <w:rPr>
          <w:sz w:val="28"/>
          <w:szCs w:val="28"/>
        </w:rPr>
        <w:t>P</w:t>
      </w:r>
      <w:r w:rsidR="006B0891" w:rsidRPr="006B0891">
        <w:rPr>
          <w:sz w:val="28"/>
          <w:szCs w:val="28"/>
        </w:rPr>
        <w:t>alencia, el Perte</w:t>
      </w:r>
      <w:r>
        <w:rPr>
          <w:sz w:val="28"/>
          <w:szCs w:val="28"/>
        </w:rPr>
        <w:t xml:space="preserve"> Vec</w:t>
      </w:r>
      <w:r w:rsidR="006B0891" w:rsidRPr="006B0891">
        <w:rPr>
          <w:sz w:val="28"/>
          <w:szCs w:val="28"/>
        </w:rPr>
        <w:t>, 233 millones, en este caso, de los cuales 141 son para impulsar la cadena de valor del vehículo eléctrico, una nueva línea de ensamblado de baterías que desarrolla la empresa Ren</w:t>
      </w:r>
      <w:r w:rsidR="00CF2D2A">
        <w:rPr>
          <w:sz w:val="28"/>
          <w:szCs w:val="28"/>
        </w:rPr>
        <w:t>ault</w:t>
      </w:r>
      <w:r w:rsidR="006B0891" w:rsidRPr="006B0891">
        <w:rPr>
          <w:sz w:val="28"/>
          <w:szCs w:val="28"/>
        </w:rPr>
        <w:t xml:space="preserve"> en su planta situada en el municipio de Villamuriel, en </w:t>
      </w:r>
      <w:r>
        <w:rPr>
          <w:sz w:val="28"/>
          <w:szCs w:val="28"/>
        </w:rPr>
        <w:t>P</w:t>
      </w:r>
      <w:r w:rsidR="006B0891" w:rsidRPr="006B0891">
        <w:rPr>
          <w:sz w:val="28"/>
          <w:szCs w:val="28"/>
        </w:rPr>
        <w:t xml:space="preserve">alencia. </w:t>
      </w:r>
    </w:p>
    <w:p w14:paraId="5BF9173A" w14:textId="39AD2975" w:rsidR="006B0891" w:rsidRPr="006B0891" w:rsidRDefault="006B0891" w:rsidP="006B0891">
      <w:pPr>
        <w:rPr>
          <w:sz w:val="28"/>
          <w:szCs w:val="28"/>
        </w:rPr>
      </w:pPr>
      <w:r w:rsidRPr="006B0891">
        <w:rPr>
          <w:sz w:val="28"/>
          <w:szCs w:val="28"/>
        </w:rPr>
        <w:t xml:space="preserve">Lugo, la Comunidad Autónoma de Galicia, recibió 36,9 millones de euros en el Perte de Descarbonización Industrial, entre otros, de los cuales 7,7 millones han ido a parar a </w:t>
      </w:r>
      <w:r w:rsidR="005E1576">
        <w:rPr>
          <w:sz w:val="28"/>
          <w:szCs w:val="28"/>
        </w:rPr>
        <w:t>T</w:t>
      </w:r>
      <w:r w:rsidRPr="006B0891">
        <w:rPr>
          <w:sz w:val="28"/>
          <w:szCs w:val="28"/>
        </w:rPr>
        <w:t xml:space="preserve">ableros </w:t>
      </w:r>
      <w:r w:rsidR="005E1576">
        <w:rPr>
          <w:sz w:val="28"/>
          <w:szCs w:val="28"/>
        </w:rPr>
        <w:t>H</w:t>
      </w:r>
      <w:r w:rsidRPr="006B0891">
        <w:rPr>
          <w:sz w:val="28"/>
          <w:szCs w:val="28"/>
        </w:rPr>
        <w:t>ispanos destinados a la instalación de energías renovables para autoconsumo industrial en la provincia de Lugo.</w:t>
      </w:r>
    </w:p>
    <w:p w14:paraId="502E78D9" w14:textId="77777777" w:rsidR="005E1576" w:rsidRDefault="006B0891" w:rsidP="006B0891">
      <w:pPr>
        <w:rPr>
          <w:sz w:val="28"/>
          <w:szCs w:val="28"/>
        </w:rPr>
      </w:pPr>
      <w:r w:rsidRPr="006B0891">
        <w:rPr>
          <w:sz w:val="28"/>
          <w:szCs w:val="28"/>
        </w:rPr>
        <w:lastRenderedPageBreak/>
        <w:t>E</w:t>
      </w:r>
      <w:r w:rsidR="005E1576">
        <w:rPr>
          <w:sz w:val="28"/>
          <w:szCs w:val="28"/>
        </w:rPr>
        <w:t>tc</w:t>
      </w:r>
      <w:r w:rsidRPr="006B0891">
        <w:rPr>
          <w:sz w:val="28"/>
          <w:szCs w:val="28"/>
        </w:rPr>
        <w:t xml:space="preserve">, </w:t>
      </w:r>
      <w:r w:rsidR="005E1576">
        <w:rPr>
          <w:sz w:val="28"/>
          <w:szCs w:val="28"/>
        </w:rPr>
        <w:t>etc</w:t>
      </w:r>
      <w:r w:rsidRPr="006B0891">
        <w:rPr>
          <w:sz w:val="28"/>
          <w:szCs w:val="28"/>
        </w:rPr>
        <w:t xml:space="preserve">. Es decir, podemos seguir pormenorizando, destacando los proyectos, pero espero que esta lista, que dista de ser exhaustiva, haya servido, de nuevo, para ejemplificar lo que es el impacto real que está teniendo el </w:t>
      </w:r>
      <w:r w:rsidR="005E1576">
        <w:rPr>
          <w:sz w:val="28"/>
          <w:szCs w:val="28"/>
        </w:rPr>
        <w:t>P</w:t>
      </w:r>
      <w:r w:rsidRPr="006B0891">
        <w:rPr>
          <w:sz w:val="28"/>
          <w:szCs w:val="28"/>
        </w:rPr>
        <w:t xml:space="preserve">lan de </w:t>
      </w:r>
      <w:r w:rsidR="005E1576">
        <w:rPr>
          <w:sz w:val="28"/>
          <w:szCs w:val="28"/>
        </w:rPr>
        <w:t>R</w:t>
      </w:r>
      <w:r w:rsidRPr="006B0891">
        <w:rPr>
          <w:sz w:val="28"/>
          <w:szCs w:val="28"/>
        </w:rPr>
        <w:t xml:space="preserve">ecuperación, más allá de las grandes cifras que hemos señalado de impacto al inicio. </w:t>
      </w:r>
    </w:p>
    <w:p w14:paraId="01175CC2" w14:textId="77777777" w:rsidR="005E1576" w:rsidRDefault="005E1576" w:rsidP="006B0891">
      <w:pPr>
        <w:rPr>
          <w:sz w:val="28"/>
          <w:szCs w:val="28"/>
        </w:rPr>
      </w:pPr>
    </w:p>
    <w:p w14:paraId="7DFD0201" w14:textId="6032D9F7" w:rsidR="006B0891" w:rsidRPr="006B0891" w:rsidRDefault="006B0891" w:rsidP="006B0891">
      <w:pPr>
        <w:rPr>
          <w:sz w:val="28"/>
          <w:szCs w:val="28"/>
        </w:rPr>
      </w:pPr>
      <w:r w:rsidRPr="006B0891">
        <w:rPr>
          <w:sz w:val="28"/>
          <w:szCs w:val="28"/>
        </w:rPr>
        <w:t xml:space="preserve">Voy terminando ya, y lo hago poniendo las luces largas o pensando también en lo que va a venir más allá del </w:t>
      </w:r>
      <w:r w:rsidR="005E1576">
        <w:rPr>
          <w:sz w:val="28"/>
          <w:szCs w:val="28"/>
        </w:rPr>
        <w:t>P</w:t>
      </w:r>
      <w:r w:rsidRPr="006B0891">
        <w:rPr>
          <w:sz w:val="28"/>
          <w:szCs w:val="28"/>
        </w:rPr>
        <w:t xml:space="preserve">lan de </w:t>
      </w:r>
      <w:r w:rsidR="005E1576">
        <w:rPr>
          <w:sz w:val="28"/>
          <w:szCs w:val="28"/>
        </w:rPr>
        <w:t>R</w:t>
      </w:r>
      <w:r w:rsidRPr="006B0891">
        <w:rPr>
          <w:sz w:val="28"/>
          <w:szCs w:val="28"/>
        </w:rPr>
        <w:t>ecuperación.</w:t>
      </w:r>
    </w:p>
    <w:p w14:paraId="333D6160" w14:textId="77777777" w:rsidR="005E1576" w:rsidRDefault="006B0891" w:rsidP="006B0891">
      <w:pPr>
        <w:rPr>
          <w:sz w:val="28"/>
          <w:szCs w:val="28"/>
        </w:rPr>
      </w:pPr>
      <w:r w:rsidRPr="006B0891">
        <w:rPr>
          <w:sz w:val="28"/>
          <w:szCs w:val="28"/>
        </w:rPr>
        <w:t xml:space="preserve">Lo he dicho anteriormente, estamos en la última fase de la implementación del </w:t>
      </w:r>
      <w:r w:rsidR="005E1576">
        <w:rPr>
          <w:sz w:val="28"/>
          <w:szCs w:val="28"/>
        </w:rPr>
        <w:t>P</w:t>
      </w:r>
      <w:r w:rsidRPr="006B0891">
        <w:rPr>
          <w:sz w:val="28"/>
          <w:szCs w:val="28"/>
        </w:rPr>
        <w:t xml:space="preserve">lan de </w:t>
      </w:r>
      <w:r w:rsidR="005E1576">
        <w:rPr>
          <w:sz w:val="28"/>
          <w:szCs w:val="28"/>
        </w:rPr>
        <w:t>R</w:t>
      </w:r>
      <w:r w:rsidRPr="006B0891">
        <w:rPr>
          <w:sz w:val="28"/>
          <w:szCs w:val="28"/>
        </w:rPr>
        <w:t xml:space="preserve">ecuperación, y uno de los proyectos más importantes de este séptimo desembolso es la creación del Fondo España Crece, que tiene, entre otros grandes objetivos, el mantener el impulso inversor del plan más allá del año 2026 para que nuestra economía y nuestras empresas no noten la finalización del </w:t>
      </w:r>
      <w:r w:rsidR="005E1576">
        <w:rPr>
          <w:sz w:val="28"/>
          <w:szCs w:val="28"/>
        </w:rPr>
        <w:t>P</w:t>
      </w:r>
      <w:r w:rsidRPr="006B0891">
        <w:rPr>
          <w:sz w:val="28"/>
          <w:szCs w:val="28"/>
        </w:rPr>
        <w:t xml:space="preserve">lan de </w:t>
      </w:r>
      <w:r w:rsidR="005E1576">
        <w:rPr>
          <w:sz w:val="28"/>
          <w:szCs w:val="28"/>
        </w:rPr>
        <w:t>R</w:t>
      </w:r>
      <w:r w:rsidRPr="006B0891">
        <w:rPr>
          <w:sz w:val="28"/>
          <w:szCs w:val="28"/>
        </w:rPr>
        <w:t xml:space="preserve">ecuperación y siga fluyendo la financiación para todos los proyectos que necesiten. </w:t>
      </w:r>
    </w:p>
    <w:p w14:paraId="6955F811" w14:textId="77777777" w:rsidR="005E1576" w:rsidRDefault="005E1576" w:rsidP="006B0891">
      <w:pPr>
        <w:rPr>
          <w:sz w:val="28"/>
          <w:szCs w:val="28"/>
        </w:rPr>
      </w:pPr>
    </w:p>
    <w:p w14:paraId="6E42DCD1" w14:textId="54CD76DE" w:rsidR="006B0891" w:rsidRPr="006B0891" w:rsidRDefault="006B0891" w:rsidP="006B0891">
      <w:pPr>
        <w:rPr>
          <w:sz w:val="28"/>
          <w:szCs w:val="28"/>
        </w:rPr>
      </w:pPr>
      <w:r w:rsidRPr="006B0891">
        <w:rPr>
          <w:sz w:val="28"/>
          <w:szCs w:val="28"/>
        </w:rPr>
        <w:t>Como saben, y lo recuerdo en esta diapositiva, España Crece se crea o consiste en una contribución financiera, un incremento del colchón de capital de ICO, en este caso por más de 10.890 millones, que van a impulsar el papel estructural del ICO a través de este Fondo España Crece. Además, se van a introducir 2.800 millones de euros en transferencias que van a permitir reforzar el conjunto de instrumentos financieros del ICO, incluyendo componentes subvencionados en las distintas líneas que se establezcan.</w:t>
      </w:r>
    </w:p>
    <w:p w14:paraId="372C190E" w14:textId="47029F7B" w:rsidR="005E1576" w:rsidRDefault="006B0891" w:rsidP="006B0891">
      <w:pPr>
        <w:rPr>
          <w:sz w:val="28"/>
          <w:szCs w:val="28"/>
        </w:rPr>
      </w:pPr>
      <w:r w:rsidRPr="006B0891">
        <w:rPr>
          <w:sz w:val="28"/>
          <w:szCs w:val="28"/>
        </w:rPr>
        <w:t>Pueden ver, además, en esta diapositiva, como ya lo hemos dicho en numerosas ocasiones, como ese incremento de capital, por supuesto, manteniendo todas las ratios así como lo exigen los supervisores por parte del ICO, estimamos, en este caso, que va a permitir al ICO apalancar o levantar financiación, teniendo en cuenta una composición de los distintos instrumentos a través de los cuales puede hacerlo, desde financiación directa, garantías, entrada en capital o cuasi</w:t>
      </w:r>
      <w:r w:rsidR="00FF4855">
        <w:rPr>
          <w:sz w:val="28"/>
          <w:szCs w:val="28"/>
        </w:rPr>
        <w:t>-</w:t>
      </w:r>
      <w:r w:rsidRPr="006B0891">
        <w:rPr>
          <w:sz w:val="28"/>
          <w:szCs w:val="28"/>
        </w:rPr>
        <w:t xml:space="preserve">capital de empresas, de hasta 60.000 millones de euros, que cuando los sumamos a la potencial aportación o apalancamiento también del sector privado, con un apalancamiento uno a uno, esperamos, y yo creo que son estimaciones prudentes, que la inversión movilizada total por parte de España Crece pueda llegar a los 120.000 millones a lo largo de su periodo vital. </w:t>
      </w:r>
    </w:p>
    <w:p w14:paraId="46360CA4" w14:textId="77777777" w:rsidR="005E1576" w:rsidRDefault="006B0891" w:rsidP="006B0891">
      <w:pPr>
        <w:rPr>
          <w:sz w:val="28"/>
          <w:szCs w:val="28"/>
        </w:rPr>
      </w:pPr>
      <w:r w:rsidRPr="006B0891">
        <w:rPr>
          <w:sz w:val="28"/>
          <w:szCs w:val="28"/>
        </w:rPr>
        <w:lastRenderedPageBreak/>
        <w:t xml:space="preserve">Llevamos los últimos meses trabajando de manera intensa en la finalización de los últimos hitos para la puesta en marcha del </w:t>
      </w:r>
      <w:r w:rsidR="005E1576">
        <w:rPr>
          <w:sz w:val="28"/>
          <w:szCs w:val="28"/>
        </w:rPr>
        <w:t>f</w:t>
      </w:r>
      <w:r w:rsidRPr="006B0891">
        <w:rPr>
          <w:sz w:val="28"/>
          <w:szCs w:val="28"/>
        </w:rPr>
        <w:t>ondo España Crece</w:t>
      </w:r>
      <w:r w:rsidR="005E1576">
        <w:rPr>
          <w:sz w:val="28"/>
          <w:szCs w:val="28"/>
        </w:rPr>
        <w:t xml:space="preserve">. Y </w:t>
      </w:r>
      <w:r w:rsidRPr="006B0891">
        <w:rPr>
          <w:sz w:val="28"/>
          <w:szCs w:val="28"/>
        </w:rPr>
        <w:t>aquí ya saben, y se lo recuerdo, que el 19 de mayo pasamos por Consejo de Ministros formalmente ya la ampliación de capital</w:t>
      </w:r>
      <w:r w:rsidR="005E1576">
        <w:rPr>
          <w:sz w:val="28"/>
          <w:szCs w:val="28"/>
        </w:rPr>
        <w:t xml:space="preserve">. </w:t>
      </w:r>
    </w:p>
    <w:p w14:paraId="00404A48" w14:textId="77777777" w:rsidR="005E1576" w:rsidRDefault="005E1576" w:rsidP="006B0891">
      <w:pPr>
        <w:rPr>
          <w:sz w:val="28"/>
          <w:szCs w:val="28"/>
        </w:rPr>
      </w:pPr>
      <w:r>
        <w:rPr>
          <w:sz w:val="28"/>
          <w:szCs w:val="28"/>
        </w:rPr>
        <w:t xml:space="preserve">Y </w:t>
      </w:r>
      <w:r w:rsidR="006B0891" w:rsidRPr="006B0891">
        <w:rPr>
          <w:sz w:val="28"/>
          <w:szCs w:val="28"/>
        </w:rPr>
        <w:t xml:space="preserve">estamos terminando de avanzar con los tres elementos que darán cierre a esta etapa inicial del fondo. </w:t>
      </w:r>
    </w:p>
    <w:p w14:paraId="161E32E4" w14:textId="228FC333" w:rsidR="006B0891" w:rsidRPr="006B0891" w:rsidRDefault="006B0891" w:rsidP="006B0891">
      <w:pPr>
        <w:rPr>
          <w:sz w:val="28"/>
          <w:szCs w:val="28"/>
        </w:rPr>
      </w:pPr>
      <w:r w:rsidRPr="006B0891">
        <w:rPr>
          <w:sz w:val="28"/>
          <w:szCs w:val="28"/>
        </w:rPr>
        <w:t>En primer lugar, negociando con la Comisión Europea la estrategia de inversión de este Fondo España Crece, cuya aprobación esperamos poder pasar también a través de la Comisión Delegada de Asuntos Económicos la semana que viene.</w:t>
      </w:r>
    </w:p>
    <w:p w14:paraId="4DCAC1DC" w14:textId="77777777" w:rsidR="005E1576" w:rsidRDefault="006B0891" w:rsidP="006B0891">
      <w:pPr>
        <w:rPr>
          <w:sz w:val="28"/>
          <w:szCs w:val="28"/>
        </w:rPr>
      </w:pPr>
      <w:r w:rsidRPr="006B0891">
        <w:rPr>
          <w:sz w:val="28"/>
          <w:szCs w:val="28"/>
        </w:rPr>
        <w:t xml:space="preserve">A lo largo del mes de junio, además, iniciaremos la tramitación de los nuevos estatutos del ICO para adaptarlo a este Fondo España Crece, a las necesidades de este nuevo mandato. </w:t>
      </w:r>
    </w:p>
    <w:p w14:paraId="0F1E3700" w14:textId="77777777" w:rsidR="005E1576" w:rsidRDefault="006B0891" w:rsidP="006B0891">
      <w:pPr>
        <w:rPr>
          <w:sz w:val="28"/>
          <w:szCs w:val="28"/>
        </w:rPr>
      </w:pPr>
      <w:r w:rsidRPr="006B0891">
        <w:rPr>
          <w:sz w:val="28"/>
          <w:szCs w:val="28"/>
        </w:rPr>
        <w:t xml:space="preserve">Realizaremos también el informe de progresos que pide la Comisión como parte de los hitos del plan en este séptimo desembolso y se llevarán a cabo en este mes de julio la transferencia de los fondos necesarios para que este Fondo España Crece se ponga en marcha. </w:t>
      </w:r>
    </w:p>
    <w:p w14:paraId="1F931D23" w14:textId="1FB1C36C" w:rsidR="006B0891" w:rsidRPr="006B0891" w:rsidRDefault="006B0891" w:rsidP="006B0891">
      <w:pPr>
        <w:rPr>
          <w:sz w:val="28"/>
          <w:szCs w:val="28"/>
        </w:rPr>
      </w:pPr>
      <w:r w:rsidRPr="006B0891">
        <w:rPr>
          <w:sz w:val="28"/>
          <w:szCs w:val="28"/>
        </w:rPr>
        <w:t xml:space="preserve">Por lo tanto, como he dicho anteriormente, ampliando la llegada, el impacto, el </w:t>
      </w:r>
      <w:r w:rsidR="005E1576">
        <w:rPr>
          <w:sz w:val="28"/>
          <w:szCs w:val="28"/>
        </w:rPr>
        <w:t>punch</w:t>
      </w:r>
      <w:r w:rsidRPr="006B0891">
        <w:rPr>
          <w:sz w:val="28"/>
          <w:szCs w:val="28"/>
        </w:rPr>
        <w:t xml:space="preserve"> de ICO para ser una palanca que permita movilizar inversión, compartir riesgos, ser ese inversor paciente que muchas veces necesita nuestro sector productivo, apoyando proyectos también de alto impacto en sectores estratégicos.</w:t>
      </w:r>
    </w:p>
    <w:p w14:paraId="5F6B1AF0" w14:textId="77777777" w:rsidR="005E1576" w:rsidRDefault="006B0891" w:rsidP="006B0891">
      <w:pPr>
        <w:rPr>
          <w:sz w:val="28"/>
          <w:szCs w:val="28"/>
        </w:rPr>
      </w:pPr>
      <w:r w:rsidRPr="006B0891">
        <w:rPr>
          <w:sz w:val="28"/>
          <w:szCs w:val="28"/>
        </w:rPr>
        <w:t xml:space="preserve">Y aquí permítame señalar algunas de las prioridades de este </w:t>
      </w:r>
      <w:r w:rsidR="005E1576">
        <w:rPr>
          <w:sz w:val="28"/>
          <w:szCs w:val="28"/>
        </w:rPr>
        <w:t>f</w:t>
      </w:r>
      <w:r w:rsidRPr="006B0891">
        <w:rPr>
          <w:sz w:val="28"/>
          <w:szCs w:val="28"/>
        </w:rPr>
        <w:t xml:space="preserve">ondo España Crece. </w:t>
      </w:r>
    </w:p>
    <w:p w14:paraId="0FAF16C4" w14:textId="77777777" w:rsidR="005E1576" w:rsidRDefault="006B0891" w:rsidP="006B0891">
      <w:pPr>
        <w:rPr>
          <w:sz w:val="28"/>
          <w:szCs w:val="28"/>
        </w:rPr>
      </w:pPr>
      <w:r w:rsidRPr="006B0891">
        <w:rPr>
          <w:sz w:val="28"/>
          <w:szCs w:val="28"/>
        </w:rPr>
        <w:t>Por supuesto, como he dicho antes, el impulsar la capitalización y el crecimiento de nuestras pequeñas y medianas empresas, en particular en los segmentos más innovadores. Sabemos que sigue habiendo un reto a la hora de crecer para nuestras empresas.</w:t>
      </w:r>
      <w:r w:rsidR="005E1576">
        <w:rPr>
          <w:sz w:val="28"/>
          <w:szCs w:val="28"/>
        </w:rPr>
        <w:t xml:space="preserve"> </w:t>
      </w:r>
      <w:r w:rsidRPr="006B0891">
        <w:rPr>
          <w:sz w:val="28"/>
          <w:szCs w:val="28"/>
        </w:rPr>
        <w:t xml:space="preserve">Queremos aliviar cualquier cuello de botella que pueda existir en torno a la financiación, cualquier fallo de mercado, a través, en este caso, del refuerzo de la presencia de ICO. </w:t>
      </w:r>
    </w:p>
    <w:p w14:paraId="7F010407" w14:textId="77777777" w:rsidR="005E1576" w:rsidRDefault="006B0891" w:rsidP="006B0891">
      <w:pPr>
        <w:rPr>
          <w:sz w:val="28"/>
          <w:szCs w:val="28"/>
        </w:rPr>
      </w:pPr>
      <w:r w:rsidRPr="006B0891">
        <w:rPr>
          <w:sz w:val="28"/>
          <w:szCs w:val="28"/>
        </w:rPr>
        <w:t>En segundo lugar, apoyar sectores estratégicos con la mayor capacidad transformadora posible</w:t>
      </w:r>
      <w:r w:rsidR="005E1576">
        <w:rPr>
          <w:sz w:val="28"/>
          <w:szCs w:val="28"/>
        </w:rPr>
        <w:t>. F</w:t>
      </w:r>
      <w:r w:rsidRPr="006B0891">
        <w:rPr>
          <w:sz w:val="28"/>
          <w:szCs w:val="28"/>
        </w:rPr>
        <w:t xml:space="preserve">omentando, en este caso, la innovación, fortalecimiento de competitividad, de productividad de nuestra economía, </w:t>
      </w:r>
      <w:r w:rsidRPr="006B0891">
        <w:rPr>
          <w:sz w:val="28"/>
          <w:szCs w:val="28"/>
        </w:rPr>
        <w:lastRenderedPageBreak/>
        <w:t xml:space="preserve">de verdad dándole continuidad a ese impulso modernizador del </w:t>
      </w:r>
      <w:r w:rsidR="005E1576">
        <w:rPr>
          <w:sz w:val="28"/>
          <w:szCs w:val="28"/>
        </w:rPr>
        <w:t>P</w:t>
      </w:r>
      <w:r w:rsidRPr="006B0891">
        <w:rPr>
          <w:sz w:val="28"/>
          <w:szCs w:val="28"/>
        </w:rPr>
        <w:t xml:space="preserve">lan de </w:t>
      </w:r>
      <w:r w:rsidR="005E1576">
        <w:rPr>
          <w:sz w:val="28"/>
          <w:szCs w:val="28"/>
        </w:rPr>
        <w:t>R</w:t>
      </w:r>
      <w:r w:rsidRPr="006B0891">
        <w:rPr>
          <w:sz w:val="28"/>
          <w:szCs w:val="28"/>
        </w:rPr>
        <w:t xml:space="preserve">ecuperación. </w:t>
      </w:r>
    </w:p>
    <w:p w14:paraId="1080E62B" w14:textId="2EE7E7C9" w:rsidR="005E1576" w:rsidRDefault="006B0891" w:rsidP="006B0891">
      <w:pPr>
        <w:rPr>
          <w:sz w:val="28"/>
          <w:szCs w:val="28"/>
        </w:rPr>
      </w:pPr>
      <w:r w:rsidRPr="006B0891">
        <w:rPr>
          <w:sz w:val="28"/>
          <w:szCs w:val="28"/>
        </w:rPr>
        <w:t>Luego, por supuesto, el ángulo de vivienda, que ya anunció el presidente del Gobierno.</w:t>
      </w:r>
      <w:r w:rsidR="005E1576">
        <w:rPr>
          <w:sz w:val="28"/>
          <w:szCs w:val="28"/>
        </w:rPr>
        <w:t xml:space="preserve"> </w:t>
      </w:r>
      <w:r w:rsidRPr="006B0891">
        <w:rPr>
          <w:sz w:val="28"/>
          <w:szCs w:val="28"/>
        </w:rPr>
        <w:t>Aquí se impulsarán actuaciones orientadas al desarrollo de vivienda social y vivienda</w:t>
      </w:r>
      <w:r w:rsidR="00CF2D2A">
        <w:rPr>
          <w:sz w:val="28"/>
          <w:szCs w:val="28"/>
        </w:rPr>
        <w:t xml:space="preserve"> asequible</w:t>
      </w:r>
      <w:r w:rsidRPr="006B0891">
        <w:rPr>
          <w:sz w:val="28"/>
          <w:szCs w:val="28"/>
        </w:rPr>
        <w:t xml:space="preserve">, ya saben, con un presupuesto de más de 23.000 millones. </w:t>
      </w:r>
    </w:p>
    <w:p w14:paraId="0071A42C" w14:textId="77777777" w:rsidR="005E1576" w:rsidRDefault="006B0891" w:rsidP="006B0891">
      <w:pPr>
        <w:rPr>
          <w:sz w:val="28"/>
          <w:szCs w:val="28"/>
        </w:rPr>
      </w:pPr>
      <w:r w:rsidRPr="006B0891">
        <w:rPr>
          <w:sz w:val="28"/>
          <w:szCs w:val="28"/>
        </w:rPr>
        <w:t xml:space="preserve">Y, por último, también el eje verde, por supuesto, promoviendo sostenibilidad, eficiencia energética, siguiendo o continuando con esa apuesta por una España industrial, pero verde, que es lo que nos está dando un extra de productividad y de atracción de inversión, además de soberanía, como hemos visto en la última crisis energética. </w:t>
      </w:r>
    </w:p>
    <w:p w14:paraId="6B4B2F9F" w14:textId="77777777" w:rsidR="005E1576" w:rsidRDefault="005E1576" w:rsidP="006B0891">
      <w:pPr>
        <w:rPr>
          <w:sz w:val="28"/>
          <w:szCs w:val="28"/>
        </w:rPr>
      </w:pPr>
    </w:p>
    <w:p w14:paraId="67B26D7E" w14:textId="5B6072CC" w:rsidR="006B0891" w:rsidRPr="006B0891" w:rsidRDefault="006B0891" w:rsidP="006B0891">
      <w:pPr>
        <w:rPr>
          <w:sz w:val="28"/>
          <w:szCs w:val="28"/>
        </w:rPr>
      </w:pPr>
      <w:r w:rsidRPr="006B0891">
        <w:rPr>
          <w:sz w:val="28"/>
          <w:szCs w:val="28"/>
        </w:rPr>
        <w:t xml:space="preserve">Y cierro ya con un último mensaje, mensaje de cierre, presidente, señalando de nuevo que estamos, y yo creo que así lo evidencian los datos, cuando hablamos del </w:t>
      </w:r>
      <w:r w:rsidR="005E1576">
        <w:rPr>
          <w:sz w:val="28"/>
          <w:szCs w:val="28"/>
        </w:rPr>
        <w:t>P</w:t>
      </w:r>
      <w:r w:rsidRPr="006B0891">
        <w:rPr>
          <w:sz w:val="28"/>
          <w:szCs w:val="28"/>
        </w:rPr>
        <w:t xml:space="preserve">lan de </w:t>
      </w:r>
      <w:r w:rsidR="005E1576">
        <w:rPr>
          <w:sz w:val="28"/>
          <w:szCs w:val="28"/>
        </w:rPr>
        <w:t>R</w:t>
      </w:r>
      <w:r w:rsidRPr="006B0891">
        <w:rPr>
          <w:sz w:val="28"/>
          <w:szCs w:val="28"/>
        </w:rPr>
        <w:t>ecuperación ante un proyecto país que ha supuesto una oportunidad histórica que creo, honestamente, que hemos sabido aprovechar.</w:t>
      </w:r>
    </w:p>
    <w:p w14:paraId="3FE6CCFD" w14:textId="77777777" w:rsidR="00F8432C" w:rsidRDefault="006B0891" w:rsidP="006B0891">
      <w:pPr>
        <w:rPr>
          <w:sz w:val="28"/>
          <w:szCs w:val="28"/>
        </w:rPr>
      </w:pPr>
      <w:r w:rsidRPr="006B0891">
        <w:rPr>
          <w:sz w:val="28"/>
          <w:szCs w:val="28"/>
        </w:rPr>
        <w:t>Tenemos que terminar de cerrar con el máximo de los esfuerzos y los elementos que todavía quedan pendientes en estos meses, pero yo creo que estamos ante una respuesta de política económica diferencial</w:t>
      </w:r>
      <w:r w:rsidR="00F8432C">
        <w:rPr>
          <w:sz w:val="28"/>
          <w:szCs w:val="28"/>
        </w:rPr>
        <w:t>. U</w:t>
      </w:r>
      <w:r w:rsidRPr="006B0891">
        <w:rPr>
          <w:sz w:val="28"/>
          <w:szCs w:val="28"/>
        </w:rPr>
        <w:t xml:space="preserve">na respuesta que ha supuesto, además, una recuperación también distinta, positiva, no solo con respecto a épocas anteriores, sino también con respecto a nuestros principales socios. </w:t>
      </w:r>
    </w:p>
    <w:p w14:paraId="145C471F" w14:textId="77777777" w:rsidR="00F8432C" w:rsidRDefault="006B0891" w:rsidP="006B0891">
      <w:pPr>
        <w:rPr>
          <w:sz w:val="28"/>
          <w:szCs w:val="28"/>
        </w:rPr>
      </w:pPr>
      <w:r w:rsidRPr="006B0891">
        <w:rPr>
          <w:sz w:val="28"/>
          <w:szCs w:val="28"/>
        </w:rPr>
        <w:t>Los datos confirman que la decisión, el establecimiento, la implantación, el diseño del plan han sido un éxito y esperamos, y así nos lo dicen los análisis, que este plan no solo tenga un efecto positivo a corto plazo, sino que vaya a tener un efecto duradero en nuestro tejido productivo y en nuestro modelo económico y social</w:t>
      </w:r>
      <w:r w:rsidR="00F8432C">
        <w:rPr>
          <w:sz w:val="28"/>
          <w:szCs w:val="28"/>
        </w:rPr>
        <w:t xml:space="preserve">. </w:t>
      </w:r>
    </w:p>
    <w:p w14:paraId="30E70962" w14:textId="77777777" w:rsidR="00F8432C" w:rsidRDefault="00F8432C" w:rsidP="006B0891">
      <w:pPr>
        <w:rPr>
          <w:sz w:val="28"/>
          <w:szCs w:val="28"/>
        </w:rPr>
      </w:pPr>
      <w:r>
        <w:rPr>
          <w:sz w:val="28"/>
          <w:szCs w:val="28"/>
        </w:rPr>
        <w:t>Y</w:t>
      </w:r>
      <w:r w:rsidR="006B0891" w:rsidRPr="006B0891">
        <w:rPr>
          <w:sz w:val="28"/>
          <w:szCs w:val="28"/>
        </w:rPr>
        <w:t xml:space="preserve">, por lo tanto, que podamos tener de verdad un elemento de cambio estructural hacia adelante, gracias tanto a las inversiones como a las reformas que están incluidas en nuestro </w:t>
      </w:r>
      <w:r>
        <w:rPr>
          <w:sz w:val="28"/>
          <w:szCs w:val="28"/>
        </w:rPr>
        <w:t>P</w:t>
      </w:r>
      <w:r w:rsidR="006B0891" w:rsidRPr="006B0891">
        <w:rPr>
          <w:sz w:val="28"/>
          <w:szCs w:val="28"/>
        </w:rPr>
        <w:t xml:space="preserve">lan de </w:t>
      </w:r>
      <w:r>
        <w:rPr>
          <w:sz w:val="28"/>
          <w:szCs w:val="28"/>
        </w:rPr>
        <w:t>R</w:t>
      </w:r>
      <w:r w:rsidR="006B0891" w:rsidRPr="006B0891">
        <w:rPr>
          <w:sz w:val="28"/>
          <w:szCs w:val="28"/>
        </w:rPr>
        <w:t xml:space="preserve">ecuperación y a las que les queremos seguir dando continuidad, por supuesto, con instrumentos como el </w:t>
      </w:r>
      <w:r>
        <w:rPr>
          <w:sz w:val="28"/>
          <w:szCs w:val="28"/>
        </w:rPr>
        <w:t>f</w:t>
      </w:r>
      <w:r w:rsidR="006B0891" w:rsidRPr="006B0891">
        <w:rPr>
          <w:sz w:val="28"/>
          <w:szCs w:val="28"/>
        </w:rPr>
        <w:t xml:space="preserve">ondo España Crece, como he señalado. </w:t>
      </w:r>
    </w:p>
    <w:p w14:paraId="431F58F5" w14:textId="235C8F02" w:rsidR="006B0891" w:rsidRDefault="006B0891" w:rsidP="006B0891">
      <w:pPr>
        <w:rPr>
          <w:sz w:val="28"/>
          <w:szCs w:val="28"/>
        </w:rPr>
      </w:pPr>
      <w:r w:rsidRPr="006B0891">
        <w:rPr>
          <w:sz w:val="28"/>
          <w:szCs w:val="28"/>
        </w:rPr>
        <w:t>Muchas gracias.</w:t>
      </w:r>
    </w:p>
    <w:p w14:paraId="70657D6A" w14:textId="77777777" w:rsidR="00FF4855" w:rsidRDefault="00FF4855" w:rsidP="006B0891">
      <w:pPr>
        <w:rPr>
          <w:sz w:val="28"/>
          <w:szCs w:val="28"/>
        </w:rPr>
      </w:pPr>
    </w:p>
    <w:p w14:paraId="1BF211DA" w14:textId="77777777" w:rsidR="00FF4855" w:rsidRPr="00FF4855" w:rsidRDefault="00FF4855" w:rsidP="00FF4855">
      <w:pPr>
        <w:rPr>
          <w:sz w:val="28"/>
          <w:szCs w:val="28"/>
        </w:rPr>
      </w:pPr>
    </w:p>
    <w:p w14:paraId="2C5B8BC3" w14:textId="30A38DC5" w:rsidR="00FF4855" w:rsidRPr="00FF4855" w:rsidRDefault="00FF4855" w:rsidP="00FF4855">
      <w:pPr>
        <w:rPr>
          <w:i/>
          <w:iCs/>
          <w:sz w:val="28"/>
          <w:szCs w:val="28"/>
        </w:rPr>
      </w:pPr>
      <w:r w:rsidRPr="00FF4855">
        <w:rPr>
          <w:i/>
          <w:iCs/>
          <w:sz w:val="28"/>
          <w:szCs w:val="28"/>
        </w:rPr>
        <w:t>Transcripción realizada por el Departamento de Comunicación del Ministerio de Economía, Comercio y Empresa</w:t>
      </w:r>
    </w:p>
    <w:sectPr w:rsidR="00FF4855" w:rsidRPr="00FF4855">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0C13B" w14:textId="77777777" w:rsidR="00F738B7" w:rsidRDefault="00F738B7" w:rsidP="00F738B7">
      <w:pPr>
        <w:spacing w:after="0"/>
      </w:pPr>
      <w:r>
        <w:separator/>
      </w:r>
    </w:p>
  </w:endnote>
  <w:endnote w:type="continuationSeparator" w:id="0">
    <w:p w14:paraId="1A9C716C" w14:textId="77777777" w:rsidR="00F738B7" w:rsidRDefault="00F738B7" w:rsidP="00F738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465418"/>
      <w:docPartObj>
        <w:docPartGallery w:val="Page Numbers (Bottom of Page)"/>
        <w:docPartUnique/>
      </w:docPartObj>
    </w:sdtPr>
    <w:sdtEndPr/>
    <w:sdtContent>
      <w:p w14:paraId="3F8D3F81" w14:textId="6D57BE11" w:rsidR="00F738B7" w:rsidRDefault="00F738B7">
        <w:pPr>
          <w:pStyle w:val="Piedepgina"/>
          <w:jc w:val="right"/>
        </w:pPr>
        <w:r>
          <w:fldChar w:fldCharType="begin"/>
        </w:r>
        <w:r>
          <w:instrText>PAGE   \* MERGEFORMAT</w:instrText>
        </w:r>
        <w:r>
          <w:fldChar w:fldCharType="separate"/>
        </w:r>
        <w:r>
          <w:t>2</w:t>
        </w:r>
        <w:r>
          <w:fldChar w:fldCharType="end"/>
        </w:r>
      </w:p>
    </w:sdtContent>
  </w:sdt>
  <w:p w14:paraId="363BEB01" w14:textId="77777777" w:rsidR="00F738B7" w:rsidRDefault="00F738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78F41" w14:textId="77777777" w:rsidR="00F738B7" w:rsidRDefault="00F738B7" w:rsidP="00F738B7">
      <w:pPr>
        <w:spacing w:after="0"/>
      </w:pPr>
      <w:r>
        <w:separator/>
      </w:r>
    </w:p>
  </w:footnote>
  <w:footnote w:type="continuationSeparator" w:id="0">
    <w:p w14:paraId="60A09999" w14:textId="77777777" w:rsidR="00F738B7" w:rsidRDefault="00F738B7" w:rsidP="00F738B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8E4"/>
    <w:rsid w:val="000A4C65"/>
    <w:rsid w:val="000F6AEB"/>
    <w:rsid w:val="00302290"/>
    <w:rsid w:val="005E1576"/>
    <w:rsid w:val="006B0891"/>
    <w:rsid w:val="00740C88"/>
    <w:rsid w:val="00754865"/>
    <w:rsid w:val="008643A6"/>
    <w:rsid w:val="008B2276"/>
    <w:rsid w:val="00AB51A4"/>
    <w:rsid w:val="00CF2D2A"/>
    <w:rsid w:val="00D538E4"/>
    <w:rsid w:val="00F738B7"/>
    <w:rsid w:val="00F8432C"/>
    <w:rsid w:val="00FF48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7EC9E"/>
  <w15:chartTrackingRefBased/>
  <w15:docId w15:val="{5934CEBB-5C11-43A9-9444-E0CE4E98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8E4"/>
    <w:pPr>
      <w:spacing w:after="240" w:line="240" w:lineRule="auto"/>
      <w:jc w:val="both"/>
    </w:pPr>
    <w:rPr>
      <w:rFonts w:ascii="Calibri" w:hAnsi="Calibri"/>
      <w:kern w:val="0"/>
      <w:sz w:val="36"/>
      <w14:ligatures w14:val="none"/>
    </w:rPr>
  </w:style>
  <w:style w:type="paragraph" w:styleId="Ttulo1">
    <w:name w:val="heading 1"/>
    <w:basedOn w:val="Normal"/>
    <w:next w:val="Normal"/>
    <w:link w:val="Ttulo1Car"/>
    <w:uiPriority w:val="9"/>
    <w:qFormat/>
    <w:rsid w:val="00D53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53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538E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538E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538E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538E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538E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538E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538E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38E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538E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538E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538E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538E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538E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538E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538E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538E4"/>
    <w:rPr>
      <w:rFonts w:eastAsiaTheme="majorEastAsia" w:cstheme="majorBidi"/>
      <w:color w:val="272727" w:themeColor="text1" w:themeTint="D8"/>
    </w:rPr>
  </w:style>
  <w:style w:type="paragraph" w:styleId="Ttulo">
    <w:name w:val="Title"/>
    <w:basedOn w:val="Normal"/>
    <w:next w:val="Normal"/>
    <w:link w:val="TtuloCar"/>
    <w:uiPriority w:val="10"/>
    <w:qFormat/>
    <w:rsid w:val="00D538E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538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538E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538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538E4"/>
    <w:pPr>
      <w:spacing w:before="160"/>
      <w:jc w:val="center"/>
    </w:pPr>
    <w:rPr>
      <w:i/>
      <w:iCs/>
      <w:color w:val="404040" w:themeColor="text1" w:themeTint="BF"/>
    </w:rPr>
  </w:style>
  <w:style w:type="character" w:customStyle="1" w:styleId="CitaCar">
    <w:name w:val="Cita Car"/>
    <w:basedOn w:val="Fuentedeprrafopredeter"/>
    <w:link w:val="Cita"/>
    <w:uiPriority w:val="29"/>
    <w:rsid w:val="00D538E4"/>
    <w:rPr>
      <w:i/>
      <w:iCs/>
      <w:color w:val="404040" w:themeColor="text1" w:themeTint="BF"/>
    </w:rPr>
  </w:style>
  <w:style w:type="paragraph" w:styleId="Prrafodelista">
    <w:name w:val="List Paragraph"/>
    <w:basedOn w:val="Normal"/>
    <w:uiPriority w:val="34"/>
    <w:qFormat/>
    <w:rsid w:val="00D538E4"/>
    <w:pPr>
      <w:ind w:left="720"/>
      <w:contextualSpacing/>
    </w:pPr>
  </w:style>
  <w:style w:type="character" w:styleId="nfasisintenso">
    <w:name w:val="Intense Emphasis"/>
    <w:basedOn w:val="Fuentedeprrafopredeter"/>
    <w:uiPriority w:val="21"/>
    <w:qFormat/>
    <w:rsid w:val="00D538E4"/>
    <w:rPr>
      <w:i/>
      <w:iCs/>
      <w:color w:val="0F4761" w:themeColor="accent1" w:themeShade="BF"/>
    </w:rPr>
  </w:style>
  <w:style w:type="paragraph" w:styleId="Citadestacada">
    <w:name w:val="Intense Quote"/>
    <w:basedOn w:val="Normal"/>
    <w:next w:val="Normal"/>
    <w:link w:val="CitadestacadaCar"/>
    <w:uiPriority w:val="30"/>
    <w:qFormat/>
    <w:rsid w:val="00D53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538E4"/>
    <w:rPr>
      <w:i/>
      <w:iCs/>
      <w:color w:val="0F4761" w:themeColor="accent1" w:themeShade="BF"/>
    </w:rPr>
  </w:style>
  <w:style w:type="character" w:styleId="Referenciaintensa">
    <w:name w:val="Intense Reference"/>
    <w:basedOn w:val="Fuentedeprrafopredeter"/>
    <w:uiPriority w:val="32"/>
    <w:qFormat/>
    <w:rsid w:val="00D538E4"/>
    <w:rPr>
      <w:b/>
      <w:bCs/>
      <w:smallCaps/>
      <w:color w:val="0F4761" w:themeColor="accent1" w:themeShade="BF"/>
      <w:spacing w:val="5"/>
    </w:rPr>
  </w:style>
  <w:style w:type="paragraph" w:styleId="Encabezado">
    <w:name w:val="header"/>
    <w:basedOn w:val="Normal"/>
    <w:link w:val="EncabezadoCar"/>
    <w:uiPriority w:val="99"/>
    <w:unhideWhenUsed/>
    <w:rsid w:val="00F738B7"/>
    <w:pPr>
      <w:tabs>
        <w:tab w:val="center" w:pos="4252"/>
        <w:tab w:val="right" w:pos="8504"/>
      </w:tabs>
      <w:spacing w:after="0"/>
    </w:pPr>
  </w:style>
  <w:style w:type="character" w:customStyle="1" w:styleId="EncabezadoCar">
    <w:name w:val="Encabezado Car"/>
    <w:basedOn w:val="Fuentedeprrafopredeter"/>
    <w:link w:val="Encabezado"/>
    <w:uiPriority w:val="99"/>
    <w:rsid w:val="00F738B7"/>
    <w:rPr>
      <w:rFonts w:ascii="Calibri" w:hAnsi="Calibri"/>
      <w:kern w:val="0"/>
      <w:sz w:val="36"/>
      <w14:ligatures w14:val="none"/>
    </w:rPr>
  </w:style>
  <w:style w:type="paragraph" w:styleId="Piedepgina">
    <w:name w:val="footer"/>
    <w:basedOn w:val="Normal"/>
    <w:link w:val="PiedepginaCar"/>
    <w:uiPriority w:val="99"/>
    <w:unhideWhenUsed/>
    <w:rsid w:val="00F738B7"/>
    <w:pPr>
      <w:tabs>
        <w:tab w:val="center" w:pos="4252"/>
        <w:tab w:val="right" w:pos="8504"/>
      </w:tabs>
      <w:spacing w:after="0"/>
    </w:pPr>
  </w:style>
  <w:style w:type="character" w:customStyle="1" w:styleId="PiedepginaCar">
    <w:name w:val="Pie de página Car"/>
    <w:basedOn w:val="Fuentedeprrafopredeter"/>
    <w:link w:val="Piedepgina"/>
    <w:uiPriority w:val="99"/>
    <w:rsid w:val="00F738B7"/>
    <w:rPr>
      <w:rFonts w:ascii="Calibri" w:hAnsi="Calibri"/>
      <w:kern w:val="0"/>
      <w:sz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1914">
      <w:bodyDiv w:val="1"/>
      <w:marLeft w:val="0"/>
      <w:marRight w:val="0"/>
      <w:marTop w:val="0"/>
      <w:marBottom w:val="0"/>
      <w:divBdr>
        <w:top w:val="none" w:sz="0" w:space="0" w:color="auto"/>
        <w:left w:val="none" w:sz="0" w:space="0" w:color="auto"/>
        <w:bottom w:val="none" w:sz="0" w:space="0" w:color="auto"/>
        <w:right w:val="none" w:sz="0" w:space="0" w:color="auto"/>
      </w:divBdr>
      <w:divsChild>
        <w:div w:id="1364015922">
          <w:marLeft w:val="0"/>
          <w:marRight w:val="0"/>
          <w:marTop w:val="0"/>
          <w:marBottom w:val="0"/>
          <w:divBdr>
            <w:top w:val="none" w:sz="0" w:space="0" w:color="auto"/>
            <w:left w:val="none" w:sz="0" w:space="0" w:color="auto"/>
            <w:bottom w:val="none" w:sz="0" w:space="0" w:color="auto"/>
            <w:right w:val="none" w:sz="0" w:space="0" w:color="auto"/>
          </w:divBdr>
        </w:div>
      </w:divsChild>
    </w:div>
    <w:div w:id="340550440">
      <w:bodyDiv w:val="1"/>
      <w:marLeft w:val="0"/>
      <w:marRight w:val="0"/>
      <w:marTop w:val="0"/>
      <w:marBottom w:val="0"/>
      <w:divBdr>
        <w:top w:val="none" w:sz="0" w:space="0" w:color="auto"/>
        <w:left w:val="none" w:sz="0" w:space="0" w:color="auto"/>
        <w:bottom w:val="none" w:sz="0" w:space="0" w:color="auto"/>
        <w:right w:val="none" w:sz="0" w:space="0" w:color="auto"/>
      </w:divBdr>
      <w:divsChild>
        <w:div w:id="1616868054">
          <w:marLeft w:val="0"/>
          <w:marRight w:val="0"/>
          <w:marTop w:val="0"/>
          <w:marBottom w:val="0"/>
          <w:divBdr>
            <w:top w:val="none" w:sz="0" w:space="0" w:color="auto"/>
            <w:left w:val="none" w:sz="0" w:space="0" w:color="auto"/>
            <w:bottom w:val="none" w:sz="0" w:space="0" w:color="auto"/>
            <w:right w:val="none" w:sz="0" w:space="0" w:color="auto"/>
          </w:divBdr>
        </w:div>
      </w:divsChild>
    </w:div>
    <w:div w:id="384642094">
      <w:bodyDiv w:val="1"/>
      <w:marLeft w:val="0"/>
      <w:marRight w:val="0"/>
      <w:marTop w:val="0"/>
      <w:marBottom w:val="0"/>
      <w:divBdr>
        <w:top w:val="none" w:sz="0" w:space="0" w:color="auto"/>
        <w:left w:val="none" w:sz="0" w:space="0" w:color="auto"/>
        <w:bottom w:val="none" w:sz="0" w:space="0" w:color="auto"/>
        <w:right w:val="none" w:sz="0" w:space="0" w:color="auto"/>
      </w:divBdr>
    </w:div>
    <w:div w:id="646738585">
      <w:bodyDiv w:val="1"/>
      <w:marLeft w:val="0"/>
      <w:marRight w:val="0"/>
      <w:marTop w:val="0"/>
      <w:marBottom w:val="0"/>
      <w:divBdr>
        <w:top w:val="none" w:sz="0" w:space="0" w:color="auto"/>
        <w:left w:val="none" w:sz="0" w:space="0" w:color="auto"/>
        <w:bottom w:val="none" w:sz="0" w:space="0" w:color="auto"/>
        <w:right w:val="none" w:sz="0" w:space="0" w:color="auto"/>
      </w:divBdr>
      <w:divsChild>
        <w:div w:id="1555651601">
          <w:marLeft w:val="0"/>
          <w:marRight w:val="0"/>
          <w:marTop w:val="0"/>
          <w:marBottom w:val="0"/>
          <w:divBdr>
            <w:top w:val="none" w:sz="0" w:space="0" w:color="auto"/>
            <w:left w:val="none" w:sz="0" w:space="0" w:color="auto"/>
            <w:bottom w:val="none" w:sz="0" w:space="0" w:color="auto"/>
            <w:right w:val="none" w:sz="0" w:space="0" w:color="auto"/>
          </w:divBdr>
        </w:div>
      </w:divsChild>
    </w:div>
    <w:div w:id="1039625117">
      <w:bodyDiv w:val="1"/>
      <w:marLeft w:val="0"/>
      <w:marRight w:val="0"/>
      <w:marTop w:val="0"/>
      <w:marBottom w:val="0"/>
      <w:divBdr>
        <w:top w:val="none" w:sz="0" w:space="0" w:color="auto"/>
        <w:left w:val="none" w:sz="0" w:space="0" w:color="auto"/>
        <w:bottom w:val="none" w:sz="0" w:space="0" w:color="auto"/>
        <w:right w:val="none" w:sz="0" w:space="0" w:color="auto"/>
      </w:divBdr>
    </w:div>
    <w:div w:id="1414086328">
      <w:bodyDiv w:val="1"/>
      <w:marLeft w:val="0"/>
      <w:marRight w:val="0"/>
      <w:marTop w:val="0"/>
      <w:marBottom w:val="0"/>
      <w:divBdr>
        <w:top w:val="none" w:sz="0" w:space="0" w:color="auto"/>
        <w:left w:val="none" w:sz="0" w:space="0" w:color="auto"/>
        <w:bottom w:val="none" w:sz="0" w:space="0" w:color="auto"/>
        <w:right w:val="none" w:sz="0" w:space="0" w:color="auto"/>
      </w:divBdr>
      <w:divsChild>
        <w:div w:id="130024017">
          <w:marLeft w:val="0"/>
          <w:marRight w:val="0"/>
          <w:marTop w:val="0"/>
          <w:marBottom w:val="0"/>
          <w:divBdr>
            <w:top w:val="none" w:sz="0" w:space="0" w:color="auto"/>
            <w:left w:val="none" w:sz="0" w:space="0" w:color="auto"/>
            <w:bottom w:val="none" w:sz="0" w:space="0" w:color="auto"/>
            <w:right w:val="none" w:sz="0" w:space="0" w:color="auto"/>
          </w:divBdr>
        </w:div>
      </w:divsChild>
    </w:div>
    <w:div w:id="1500971627">
      <w:bodyDiv w:val="1"/>
      <w:marLeft w:val="0"/>
      <w:marRight w:val="0"/>
      <w:marTop w:val="0"/>
      <w:marBottom w:val="0"/>
      <w:divBdr>
        <w:top w:val="none" w:sz="0" w:space="0" w:color="auto"/>
        <w:left w:val="none" w:sz="0" w:space="0" w:color="auto"/>
        <w:bottom w:val="none" w:sz="0" w:space="0" w:color="auto"/>
        <w:right w:val="none" w:sz="0" w:space="0" w:color="auto"/>
      </w:divBdr>
      <w:divsChild>
        <w:div w:id="339360541">
          <w:marLeft w:val="0"/>
          <w:marRight w:val="0"/>
          <w:marTop w:val="0"/>
          <w:marBottom w:val="0"/>
          <w:divBdr>
            <w:top w:val="none" w:sz="0" w:space="0" w:color="auto"/>
            <w:left w:val="none" w:sz="0" w:space="0" w:color="auto"/>
            <w:bottom w:val="none" w:sz="0" w:space="0" w:color="auto"/>
            <w:right w:val="none" w:sz="0" w:space="0" w:color="auto"/>
          </w:divBdr>
        </w:div>
      </w:divsChild>
    </w:div>
    <w:div w:id="1918245780">
      <w:bodyDiv w:val="1"/>
      <w:marLeft w:val="0"/>
      <w:marRight w:val="0"/>
      <w:marTop w:val="0"/>
      <w:marBottom w:val="0"/>
      <w:divBdr>
        <w:top w:val="none" w:sz="0" w:space="0" w:color="auto"/>
        <w:left w:val="none" w:sz="0" w:space="0" w:color="auto"/>
        <w:bottom w:val="none" w:sz="0" w:space="0" w:color="auto"/>
        <w:right w:val="none" w:sz="0" w:space="0" w:color="auto"/>
      </w:divBdr>
      <w:divsChild>
        <w:div w:id="110362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SP" ma:contentTypeID="0x0101008FF1A553EA44B64A95089CD029D051E5006B50E86A30E085459002480231F0F051" ma:contentTypeVersion="2" ma:contentTypeDescription="Crear nuevo documento." ma:contentTypeScope="" ma:versionID="9fa16525682d410934bfd5ee76cd91a1">
  <xsd:schema xmlns:xsd="http://www.w3.org/2001/XMLSchema" xmlns:xs="http://www.w3.org/2001/XMLSchema" xmlns:p="http://schemas.microsoft.com/office/2006/metadata/properties" xmlns:ns2="0ab26fd9-f3a4-4932-bb5f-974b43a86ccf" xmlns:ns3="5adc3495-f5d9-4058-9f2d-12b0d72f2b64" xmlns:ns4="f152e7f8-0e10-4c01-8468-1752a5770a64" targetNamespace="http://schemas.microsoft.com/office/2006/metadata/properties" ma:root="true" ma:fieldsID="d15606e4e337e80d5eddab8712434833" ns2:_="" ns3:_="" ns4:_="">
    <xsd:import namespace="0ab26fd9-f3a4-4932-bb5f-974b43a86ccf"/>
    <xsd:import namespace="5adc3495-f5d9-4058-9f2d-12b0d72f2b64"/>
    <xsd:import namespace="f152e7f8-0e10-4c01-8468-1752a5770a64"/>
    <xsd:element name="properties">
      <xsd:complexType>
        <xsd:sequence>
          <xsd:element name="documentManagement">
            <xsd:complexType>
              <xsd:all>
                <xsd:element ref="ns2:TituloSP"/>
                <xsd:element ref="ns2:AltSP" minOccurs="0"/>
                <xsd:element ref="ns3:d911194701f84a3a9135b63283404e71" minOccurs="0"/>
                <xsd:element ref="ns3:TaxCatchAll" minOccurs="0"/>
                <xsd:element ref="ns3:TaxCatchAllLabel" minOccurs="0"/>
                <xsd:element ref="ns2:DescripcionSP" minOccurs="0"/>
                <xsd:element ref="ns4:AliasSP" minOccurs="0"/>
                <xsd:element ref="ns2:FechaPublicacionS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26fd9-f3a4-4932-bb5f-974b43a86ccf" elementFormDefault="qualified">
    <xsd:import namespace="http://schemas.microsoft.com/office/2006/documentManagement/types"/>
    <xsd:import namespace="http://schemas.microsoft.com/office/infopath/2007/PartnerControls"/>
    <xsd:element name="TituloSP" ma:index="8" ma:displayName="Título" ma:internalName="TituloSP">
      <xsd:simpleType>
        <xsd:restriction base="dms:Unknown"/>
      </xsd:simpleType>
    </xsd:element>
    <xsd:element name="AltSP" ma:index="9" nillable="true" ma:displayName="Alt" ma:internalName="AltSP">
      <xsd:simpleType>
        <xsd:restriction base="dms:Unknown"/>
      </xsd:simpleType>
    </xsd:element>
    <xsd:element name="DescripcionSP" ma:index="14" nillable="true" ma:displayName="Descripción" ma:internalName="DescripcionSP">
      <xsd:simpleType>
        <xsd:restriction base="dms:Unknown"/>
      </xsd:simpleType>
    </xsd:element>
    <xsd:element name="FechaPublicacionSP" ma:index="16" nillable="true" ma:displayName="Fecha" ma:format="DateOnly" ma:internalName="FechaPublicacionSP">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dc3495-f5d9-4058-9f2d-12b0d72f2b64" elementFormDefault="qualified">
    <xsd:import namespace="http://schemas.microsoft.com/office/2006/documentManagement/types"/>
    <xsd:import namespace="http://schemas.microsoft.com/office/infopath/2007/PartnerControls"/>
    <xsd:element name="d911194701f84a3a9135b63283404e71" ma:index="10" ma:taxonomy="true" ma:internalName="d911194701f84a3a9135b63283404e71" ma:taxonomyFieldName="IdiomaSP" ma:displayName="Idioma" ma:default="" ma:fieldId="{d9111947-01f8-4a3a-9135-b63283404e71}" ma:taxonomyMulti="true" ma:sspId="5645bb3b-70b7-4a0a-bb6c-c47f3dc5b14e" ma:termSetId="e4f8cfe7-bb53-4ef2-81db-270cc20d9ca7"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cdd7067-d7c6-4ec1-9bf5-3acf66cab821}" ma:internalName="TaxCatchAll" ma:showField="CatchAllData" ma:web="5adc3495-f5d9-4058-9f2d-12b0d72f2b6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cdd7067-d7c6-4ec1-9bf5-3acf66cab821}" ma:internalName="TaxCatchAllLabel" ma:readOnly="true" ma:showField="CatchAllDataLabel" ma:web="5adc3495-f5d9-4058-9f2d-12b0d72f2b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52e7f8-0e10-4c01-8468-1752a5770a64" elementFormDefault="qualified">
    <xsd:import namespace="http://schemas.microsoft.com/office/2006/documentManagement/types"/>
    <xsd:import namespace="http://schemas.microsoft.com/office/infopath/2007/PartnerControls"/>
    <xsd:element name="AliasSP" ma:index="15" nillable="true" ma:displayName="Alias" ma:internalName="AliasS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dc3495-f5d9-4058-9f2d-12b0d72f2b64">
      <Value>145</Value>
    </TaxCatchAll>
    <d911194701f84a3a9135b63283404e71 xmlns="5adc3495-f5d9-4058-9f2d-12b0d72f2b64">
      <Terms xmlns="http://schemas.microsoft.com/office/infopath/2007/PartnerControls">
        <TermInfo xmlns="http://schemas.microsoft.com/office/infopath/2007/PartnerControls">
          <TermName xmlns="http://schemas.microsoft.com/office/infopath/2007/PartnerControls">Español</TermName>
          <TermId xmlns="http://schemas.microsoft.com/office/infopath/2007/PartnerControls">69af468f-2a04-466e-8d7b-1ff67d3591aa</TermId>
        </TermInfo>
      </Terms>
    </d911194701f84a3a9135b63283404e71>
    <AliasSP xmlns="f152e7f8-0e10-4c01-8468-1752a5770a64" xsi:nil="true"/>
    <TituloSP xmlns="0ab26fd9-f3a4-4932-bb5f-974b43a86ccf">20260708-Transcripcion-vicepresidente_ComisionUE_Congreso​&lt;br&gt;</TituloSP>
    <AltSP xmlns="0ab26fd9-f3a4-4932-bb5f-974b43a86ccf" xsi:nil="true"/>
    <FechaPublicacionSP xmlns="0ab26fd9-f3a4-4932-bb5f-974b43a86ccf" xsi:nil="true"/>
    <DescripcionSP xmlns="0ab26fd9-f3a4-4932-bb5f-974b43a86ccf" xsi:nil="true"/>
  </documentManagement>
</p:properties>
</file>

<file path=customXml/itemProps1.xml><?xml version="1.0" encoding="utf-8"?>
<ds:datastoreItem xmlns:ds="http://schemas.openxmlformats.org/officeDocument/2006/customXml" ds:itemID="{14251884-ED67-4FD9-B79C-74693AA96EB1}"/>
</file>

<file path=customXml/itemProps2.xml><?xml version="1.0" encoding="utf-8"?>
<ds:datastoreItem xmlns:ds="http://schemas.openxmlformats.org/officeDocument/2006/customXml" ds:itemID="{885B949D-9E74-41F1-9E7B-76DC28D08C6D}"/>
</file>

<file path=customXml/itemProps3.xml><?xml version="1.0" encoding="utf-8"?>
<ds:datastoreItem xmlns:ds="http://schemas.openxmlformats.org/officeDocument/2006/customXml" ds:itemID="{08AF7E6E-2593-4F57-8874-9A5028B139F6}"/>
</file>

<file path=docProps/app.xml><?xml version="1.0" encoding="utf-8"?>
<Properties xmlns="http://schemas.openxmlformats.org/officeDocument/2006/extended-properties" xmlns:vt="http://schemas.openxmlformats.org/officeDocument/2006/docPropsVTypes">
  <Template>Normal</Template>
  <TotalTime>56</TotalTime>
  <Pages>23</Pages>
  <Words>7684</Words>
  <Characters>42268</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Villoslada Benito, Javier</dc:creator>
  <cp:keywords/>
  <dc:description/>
  <cp:lastModifiedBy>Villoslada Benito, Javier</cp:lastModifiedBy>
  <cp:revision>3</cp:revision>
  <dcterms:created xsi:type="dcterms:W3CDTF">2026-07-08T15:01:00Z</dcterms:created>
  <dcterms:modified xsi:type="dcterms:W3CDTF">2026-07-08T16:19:00Z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0x0101008FF1A553EA44B64A95089CD029D051E5006B50E86A30E085459002480231F0F051</vt:lpwstr>
  </property>
  <property fmtid="{D5CDD505-2E9C-101B-9397-08002B2CF9AE}" pid="3" name="IdiomaSP">
    <vt:lpwstr>145;#Español|69af468f-2a04-466e-8d7b-1ff67d3591aa</vt:lpwstr>
  </property>
</Properties>
</file>